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Default Extension="png" ContentType="image/png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40147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Statewide Customer Service Annual Report" w:id="1"/>
      <w:bookmarkEnd w:id="1"/>
      <w:r>
        <w:rPr/>
      </w:r>
      <w:r>
        <w:rPr>
          <w:sz w:val="17"/>
        </w:rPr>
      </w:r>
    </w:p>
    <w:p>
      <w:pPr>
        <w:spacing w:after="0"/>
        <w:rPr>
          <w:sz w:val="17"/>
        </w:rPr>
        <w:sectPr>
          <w:type w:val="continuous"/>
          <w:pgSz w:w="12240" w:h="15840"/>
          <w:pgMar w:top="1500" w:bottom="280" w:left="1320" w:right="1260"/>
        </w:sectPr>
      </w:pPr>
    </w:p>
    <w:p>
      <w:pPr>
        <w:pStyle w:val="BodyText"/>
        <w:spacing w:before="10"/>
        <w:rPr>
          <w:sz w:val="23"/>
        </w:rPr>
      </w:pPr>
    </w:p>
    <w:p>
      <w:pPr>
        <w:spacing w:before="80"/>
        <w:ind w:left="120" w:right="0" w:firstLine="0"/>
        <w:jc w:val="left"/>
        <w:rPr>
          <w:b/>
          <w:sz w:val="48"/>
        </w:rPr>
      </w:pPr>
      <w:bookmarkStart w:name="Letter from the Governor of Maryland" w:id="2"/>
      <w:bookmarkEnd w:id="2"/>
      <w:r>
        <w:rPr/>
      </w:r>
      <w:r>
        <w:rPr>
          <w:b/>
          <w:sz w:val="48"/>
        </w:rPr>
        <w:t>Letter</w:t>
      </w:r>
      <w:r>
        <w:rPr>
          <w:b/>
          <w:spacing w:val="-3"/>
          <w:sz w:val="48"/>
        </w:rPr>
        <w:t> </w:t>
      </w:r>
      <w:r>
        <w:rPr>
          <w:b/>
          <w:sz w:val="48"/>
        </w:rPr>
        <w:t>from</w:t>
      </w:r>
      <w:r>
        <w:rPr>
          <w:b/>
          <w:spacing w:val="-3"/>
          <w:sz w:val="48"/>
        </w:rPr>
        <w:t> </w:t>
      </w:r>
      <w:r>
        <w:rPr>
          <w:b/>
          <w:sz w:val="48"/>
        </w:rPr>
        <w:t>the</w:t>
      </w:r>
      <w:r>
        <w:rPr>
          <w:b/>
          <w:spacing w:val="-3"/>
          <w:sz w:val="48"/>
        </w:rPr>
        <w:t> </w:t>
      </w:r>
      <w:r>
        <w:rPr>
          <w:b/>
          <w:sz w:val="48"/>
        </w:rPr>
        <w:t>Governor</w:t>
      </w:r>
      <w:r>
        <w:rPr>
          <w:b/>
          <w:spacing w:val="-2"/>
          <w:sz w:val="48"/>
        </w:rPr>
        <w:t> </w:t>
      </w:r>
      <w:r>
        <w:rPr>
          <w:b/>
          <w:sz w:val="48"/>
        </w:rPr>
        <w:t>of</w:t>
      </w:r>
      <w:r>
        <w:rPr>
          <w:b/>
          <w:spacing w:val="-3"/>
          <w:sz w:val="48"/>
        </w:rPr>
        <w:t> </w:t>
      </w:r>
      <w:r>
        <w:rPr>
          <w:b/>
          <w:sz w:val="48"/>
        </w:rPr>
        <w:t>Maryland</w:t>
      </w:r>
    </w:p>
    <w:p>
      <w:pPr>
        <w:spacing w:before="278"/>
        <w:ind w:left="120" w:right="0" w:firstLine="0"/>
        <w:jc w:val="left"/>
        <w:rPr>
          <w:rFonts w:ascii="Georgia"/>
          <w:sz w:val="22"/>
        </w:rPr>
      </w:pPr>
      <w:r>
        <w:rPr>
          <w:rFonts w:ascii="Georgia"/>
          <w:sz w:val="22"/>
        </w:rPr>
        <w:t>Dear</w:t>
      </w:r>
      <w:r>
        <w:rPr>
          <w:rFonts w:ascii="Georgia"/>
          <w:spacing w:val="-5"/>
          <w:sz w:val="22"/>
        </w:rPr>
        <w:t> </w:t>
      </w:r>
      <w:r>
        <w:rPr>
          <w:rFonts w:ascii="Georgia"/>
          <w:sz w:val="22"/>
        </w:rPr>
        <w:t>Marylanders,</w:t>
      </w:r>
    </w:p>
    <w:p>
      <w:pPr>
        <w:pStyle w:val="BodyText"/>
        <w:spacing w:before="6"/>
        <w:rPr>
          <w:rFonts w:ascii="Georgia"/>
          <w:sz w:val="28"/>
        </w:rPr>
      </w:pPr>
    </w:p>
    <w:p>
      <w:pPr>
        <w:spacing w:line="276" w:lineRule="auto" w:before="0"/>
        <w:ind w:left="120" w:right="216" w:firstLine="0"/>
        <w:jc w:val="left"/>
        <w:rPr>
          <w:rFonts w:ascii="Georgia" w:hAnsi="Georgia"/>
          <w:sz w:val="22"/>
        </w:rPr>
      </w:pPr>
      <w:r>
        <w:rPr>
          <w:rFonts w:ascii="Georgia" w:hAnsi="Georgia"/>
          <w:sz w:val="22"/>
        </w:rPr>
        <w:t>I</w:t>
      </w:r>
      <w:r>
        <w:rPr>
          <w:rFonts w:ascii="Georgia" w:hAnsi="Georgia"/>
          <w:spacing w:val="-4"/>
          <w:sz w:val="22"/>
        </w:rPr>
        <w:t> </w:t>
      </w:r>
      <w:r>
        <w:rPr>
          <w:rFonts w:ascii="Georgia" w:hAnsi="Georgia"/>
          <w:sz w:val="22"/>
        </w:rPr>
        <w:t>am</w:t>
      </w:r>
      <w:r>
        <w:rPr>
          <w:rFonts w:ascii="Georgia" w:hAnsi="Georgia"/>
          <w:spacing w:val="-4"/>
          <w:sz w:val="22"/>
        </w:rPr>
        <w:t> </w:t>
      </w:r>
      <w:r>
        <w:rPr>
          <w:rFonts w:ascii="Georgia" w:hAnsi="Georgia"/>
          <w:sz w:val="22"/>
        </w:rPr>
        <w:t>proud</w:t>
      </w:r>
      <w:r>
        <w:rPr>
          <w:rFonts w:ascii="Georgia" w:hAnsi="Georgia"/>
          <w:spacing w:val="-2"/>
          <w:sz w:val="22"/>
        </w:rPr>
        <w:t> </w:t>
      </w:r>
      <w:r>
        <w:rPr>
          <w:rFonts w:ascii="Georgia" w:hAnsi="Georgia"/>
          <w:sz w:val="22"/>
        </w:rPr>
        <w:t>of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Marylanders</w:t>
      </w:r>
      <w:r>
        <w:rPr>
          <w:rFonts w:ascii="Georgia" w:hAnsi="Georgia"/>
          <w:spacing w:val="-4"/>
          <w:sz w:val="22"/>
        </w:rPr>
        <w:t> </w:t>
      </w:r>
      <w:r>
        <w:rPr>
          <w:rFonts w:ascii="Georgia" w:hAnsi="Georgia"/>
          <w:sz w:val="22"/>
        </w:rPr>
        <w:t>for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uniting,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never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losing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hope,</w:t>
      </w:r>
      <w:r>
        <w:rPr>
          <w:rFonts w:ascii="Georgia" w:hAnsi="Georgia"/>
          <w:spacing w:val="-4"/>
          <w:sz w:val="22"/>
        </w:rPr>
        <w:t> </w:t>
      </w:r>
      <w:r>
        <w:rPr>
          <w:rFonts w:ascii="Georgia" w:hAnsi="Georgia"/>
          <w:sz w:val="22"/>
        </w:rPr>
        <w:t>and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staying</w:t>
      </w:r>
      <w:r>
        <w:rPr>
          <w:rFonts w:ascii="Georgia" w:hAnsi="Georgia"/>
          <w:spacing w:val="-4"/>
          <w:sz w:val="22"/>
        </w:rPr>
        <w:t> </w:t>
      </w:r>
      <w:r>
        <w:rPr>
          <w:rFonts w:ascii="Georgia" w:hAnsi="Georgia"/>
          <w:sz w:val="22"/>
        </w:rPr>
        <w:t>Maryland</w:t>
      </w:r>
      <w:r>
        <w:rPr>
          <w:rFonts w:ascii="Georgia" w:hAnsi="Georgia"/>
          <w:spacing w:val="-4"/>
          <w:sz w:val="22"/>
        </w:rPr>
        <w:t> </w:t>
      </w:r>
      <w:r>
        <w:rPr>
          <w:rFonts w:ascii="Georgia" w:hAnsi="Georgia"/>
          <w:sz w:val="22"/>
        </w:rPr>
        <w:t>Strong</w:t>
      </w:r>
      <w:r>
        <w:rPr>
          <w:rFonts w:ascii="Georgia" w:hAnsi="Georgia"/>
          <w:spacing w:val="-3"/>
          <w:sz w:val="22"/>
        </w:rPr>
        <w:t> </w:t>
      </w:r>
      <w:r>
        <w:rPr>
          <w:rFonts w:ascii="Georgia" w:hAnsi="Georgia"/>
          <w:sz w:val="22"/>
        </w:rPr>
        <w:t>during</w:t>
      </w:r>
      <w:r>
        <w:rPr>
          <w:rFonts w:ascii="Georgia" w:hAnsi="Georgia"/>
          <w:spacing w:val="-50"/>
          <w:sz w:val="22"/>
        </w:rPr>
        <w:t> </w:t>
      </w:r>
      <w:r>
        <w:rPr>
          <w:rFonts w:ascii="Georgia" w:hAnsi="Georgia"/>
          <w:sz w:val="22"/>
        </w:rPr>
        <w:t>this incredibly difficult year. We have faced and overcome daunting challenges before, and we</w:t>
      </w:r>
      <w:r>
        <w:rPr>
          <w:rFonts w:ascii="Georgia" w:hAnsi="Georgia"/>
          <w:spacing w:val="1"/>
          <w:sz w:val="22"/>
        </w:rPr>
        <w:t> </w:t>
      </w:r>
      <w:r>
        <w:rPr>
          <w:rFonts w:ascii="Georgia" w:hAnsi="Georgia"/>
          <w:sz w:val="22"/>
        </w:rPr>
        <w:t>will get through this together. In June of 2016, our administration rolled out an ambitious</w:t>
      </w:r>
      <w:r>
        <w:rPr>
          <w:rFonts w:ascii="Georgia" w:hAnsi="Georgia"/>
          <w:spacing w:val="1"/>
          <w:sz w:val="22"/>
        </w:rPr>
        <w:t> </w:t>
      </w:r>
      <w:r>
        <w:rPr>
          <w:rFonts w:ascii="Georgia" w:hAnsi="Georgia"/>
          <w:sz w:val="22"/>
        </w:rPr>
        <w:t>endeavor – to change the culture of state government and drastically improve the citizen</w:t>
      </w:r>
      <w:r>
        <w:rPr>
          <w:rFonts w:ascii="Georgia" w:hAnsi="Georgia"/>
          <w:spacing w:val="1"/>
          <w:sz w:val="22"/>
        </w:rPr>
        <w:t> </w:t>
      </w:r>
      <w:r>
        <w:rPr>
          <w:rFonts w:ascii="Georgia" w:hAnsi="Georgia"/>
          <w:sz w:val="22"/>
        </w:rPr>
        <w:t>experience.</w:t>
      </w:r>
      <w:r>
        <w:rPr>
          <w:rFonts w:ascii="Georgia" w:hAnsi="Georgia"/>
          <w:spacing w:val="-1"/>
          <w:sz w:val="22"/>
        </w:rPr>
        <w:t> </w:t>
      </w:r>
      <w:r>
        <w:rPr>
          <w:rFonts w:ascii="Georgia" w:hAnsi="Georgia"/>
          <w:sz w:val="22"/>
        </w:rPr>
        <w:t>Never</w:t>
      </w:r>
      <w:r>
        <w:rPr>
          <w:rFonts w:ascii="Georgia" w:hAnsi="Georgia"/>
          <w:spacing w:val="-2"/>
          <w:sz w:val="22"/>
        </w:rPr>
        <w:t> </w:t>
      </w:r>
      <w:r>
        <w:rPr>
          <w:rFonts w:ascii="Georgia" w:hAnsi="Georgia"/>
          <w:sz w:val="22"/>
        </w:rPr>
        <w:t>has</w:t>
      </w:r>
      <w:r>
        <w:rPr>
          <w:rFonts w:ascii="Georgia" w:hAnsi="Georgia"/>
          <w:spacing w:val="-1"/>
          <w:sz w:val="22"/>
        </w:rPr>
        <w:t> </w:t>
      </w:r>
      <w:r>
        <w:rPr>
          <w:rFonts w:ascii="Georgia" w:hAnsi="Georgia"/>
          <w:sz w:val="22"/>
        </w:rPr>
        <w:t>this</w:t>
      </w:r>
      <w:r>
        <w:rPr>
          <w:rFonts w:ascii="Georgia" w:hAnsi="Georgia"/>
          <w:spacing w:val="-2"/>
          <w:sz w:val="22"/>
        </w:rPr>
        <w:t> </w:t>
      </w:r>
      <w:r>
        <w:rPr>
          <w:rFonts w:ascii="Georgia" w:hAnsi="Georgia"/>
          <w:sz w:val="22"/>
        </w:rPr>
        <w:t>commitment been</w:t>
      </w:r>
      <w:r>
        <w:rPr>
          <w:rFonts w:ascii="Georgia" w:hAnsi="Georgia"/>
          <w:spacing w:val="-2"/>
          <w:sz w:val="22"/>
        </w:rPr>
        <w:t> </w:t>
      </w:r>
      <w:r>
        <w:rPr>
          <w:rFonts w:ascii="Georgia" w:hAnsi="Georgia"/>
          <w:sz w:val="22"/>
        </w:rPr>
        <w:t>more</w:t>
      </w:r>
      <w:r>
        <w:rPr>
          <w:rFonts w:ascii="Georgia" w:hAnsi="Georgia"/>
          <w:spacing w:val="-1"/>
          <w:sz w:val="22"/>
        </w:rPr>
        <w:t> </w:t>
      </w:r>
      <w:r>
        <w:rPr>
          <w:rFonts w:ascii="Georgia" w:hAnsi="Georgia"/>
          <w:sz w:val="22"/>
        </w:rPr>
        <w:t>important</w:t>
      </w:r>
      <w:r>
        <w:rPr>
          <w:rFonts w:ascii="Georgia" w:hAnsi="Georgia"/>
          <w:spacing w:val="-2"/>
          <w:sz w:val="22"/>
        </w:rPr>
        <w:t> </w:t>
      </w:r>
      <w:r>
        <w:rPr>
          <w:rFonts w:ascii="Georgia" w:hAnsi="Georgia"/>
          <w:sz w:val="22"/>
        </w:rPr>
        <w:t>than now.</w:t>
      </w:r>
    </w:p>
    <w:p>
      <w:pPr>
        <w:pStyle w:val="BodyText"/>
        <w:spacing w:before="3"/>
        <w:rPr>
          <w:rFonts w:ascii="Georgia"/>
          <w:sz w:val="25"/>
        </w:rPr>
      </w:pPr>
    </w:p>
    <w:p>
      <w:pPr>
        <w:spacing w:line="276" w:lineRule="auto" w:before="0"/>
        <w:ind w:left="120" w:right="216" w:firstLine="0"/>
        <w:jc w:val="left"/>
        <w:rPr>
          <w:rFonts w:ascii="Georgia"/>
          <w:sz w:val="22"/>
        </w:rPr>
      </w:pPr>
      <w:r>
        <w:rPr>
          <w:rFonts w:ascii="Georgia"/>
          <w:sz w:val="22"/>
        </w:rPr>
        <w:t>Even through this unprecedented situation, I am proud of the customer service our state has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provided by quickly pivoting to serve Marylanders in need within days or weeks, when these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same processes would normally take weeks or months. The job of every state employee is to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focus on helping as many people as possible, as fast as possible, and with the best customer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service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possible.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I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am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grateful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to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the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many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state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employees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who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have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worked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overtime,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and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with</w:t>
      </w:r>
      <w:r>
        <w:rPr>
          <w:rFonts w:ascii="Georgia"/>
          <w:spacing w:val="-50"/>
          <w:sz w:val="22"/>
        </w:rPr>
        <w:t> </w:t>
      </w:r>
      <w:r>
        <w:rPr>
          <w:rFonts w:ascii="Georgia"/>
          <w:sz w:val="22"/>
        </w:rPr>
        <w:t>innovative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strategies,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so that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our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customers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are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assisted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safely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and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expeditiously.</w:t>
      </w:r>
    </w:p>
    <w:p>
      <w:pPr>
        <w:pStyle w:val="BodyText"/>
        <w:spacing w:before="3"/>
        <w:rPr>
          <w:rFonts w:ascii="Georgia"/>
          <w:sz w:val="25"/>
        </w:rPr>
      </w:pPr>
    </w:p>
    <w:p>
      <w:pPr>
        <w:spacing w:line="276" w:lineRule="auto" w:before="0"/>
        <w:ind w:left="120" w:right="230" w:firstLine="0"/>
        <w:jc w:val="left"/>
        <w:rPr>
          <w:rFonts w:ascii="Georgia"/>
          <w:sz w:val="22"/>
        </w:rPr>
      </w:pPr>
      <w:r>
        <w:rPr>
          <w:rFonts w:ascii="Georgia"/>
          <w:sz w:val="22"/>
        </w:rPr>
        <w:t>Despite the obstacles of 2020, it should come as no surprise that, four years into our Customer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Service Initiative, we continue to see improvements and success stories across all state agencies.</w:t>
      </w:r>
      <w:r>
        <w:rPr>
          <w:rFonts w:ascii="Georgia"/>
          <w:spacing w:val="-52"/>
          <w:sz w:val="22"/>
        </w:rPr>
        <w:t> </w:t>
      </w:r>
      <w:r>
        <w:rPr>
          <w:rFonts w:ascii="Georgia"/>
          <w:sz w:val="22"/>
        </w:rPr>
        <w:t>Key components to our success include the feedback we receive from you, our customers, and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the innovative ideas and process improvements provided by our team members. State agencies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continued in FY20 to implement their customer service improvement plans, provide training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and recognition for our team members, collect customer satisfaction data, and beginning in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March of 2020, adapted to meet the virtual or socially-distanced requirements to provide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service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safely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to our customers.</w:t>
      </w:r>
    </w:p>
    <w:p>
      <w:pPr>
        <w:pStyle w:val="BodyText"/>
        <w:spacing w:before="3"/>
        <w:rPr>
          <w:rFonts w:ascii="Georgia"/>
          <w:sz w:val="25"/>
        </w:rPr>
      </w:pPr>
    </w:p>
    <w:p>
      <w:pPr>
        <w:spacing w:line="276" w:lineRule="auto" w:before="0"/>
        <w:ind w:left="120" w:right="178" w:firstLine="0"/>
        <w:jc w:val="left"/>
        <w:rPr>
          <w:rFonts w:ascii="Georgia"/>
          <w:sz w:val="22"/>
        </w:rPr>
      </w:pPr>
      <w:r>
        <w:rPr>
          <w:rFonts w:ascii="Georgia"/>
          <w:sz w:val="22"/>
        </w:rPr>
        <w:t>We encourage you to view the details of these customer service accomplishments and COVID19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changes that are highlighted in this FY20 Annual Report. Agency-specific reports are also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available on their respective websites. I want to thank all of our hardworking state employees for</w:t>
      </w:r>
      <w:r>
        <w:rPr>
          <w:rFonts w:ascii="Georgia"/>
          <w:spacing w:val="-51"/>
          <w:sz w:val="22"/>
        </w:rPr>
        <w:t> </w:t>
      </w:r>
      <w:r>
        <w:rPr>
          <w:rFonts w:ascii="Georgia"/>
          <w:sz w:val="22"/>
        </w:rPr>
        <w:t>the service they provide, as well as the members of our Customer Service Workgroup who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continue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to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provide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our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administration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with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feedback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and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ideas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for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ongoing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improvements.</w:t>
      </w:r>
    </w:p>
    <w:p>
      <w:pPr>
        <w:pStyle w:val="BodyText"/>
        <w:spacing w:before="4"/>
        <w:rPr>
          <w:rFonts w:ascii="Georgia"/>
          <w:sz w:val="25"/>
        </w:rPr>
      </w:pPr>
    </w:p>
    <w:p>
      <w:pPr>
        <w:spacing w:line="276" w:lineRule="auto" w:before="0"/>
        <w:ind w:left="120" w:right="216" w:firstLine="0"/>
        <w:jc w:val="left"/>
        <w:rPr>
          <w:rFonts w:ascii="Georgia"/>
          <w:sz w:val="22"/>
        </w:rPr>
      </w:pPr>
      <w:r>
        <w:rPr>
          <w:rFonts w:ascii="Georgia"/>
          <w:sz w:val="22"/>
        </w:rPr>
        <w:t>The Hogan-Rutherford administration is committed to providing the best possible customer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service to our citizens and so I directed each agency to ensure that we continue to deliver the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best customer service to our struggling citizens and small businesses as quickly as possible.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Through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the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hard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work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of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our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employees,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the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state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is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better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equipped</w:t>
      </w:r>
      <w:r>
        <w:rPr>
          <w:rFonts w:ascii="Georgia"/>
          <w:spacing w:val="-3"/>
          <w:sz w:val="22"/>
        </w:rPr>
        <w:t> </w:t>
      </w:r>
      <w:r>
        <w:rPr>
          <w:rFonts w:ascii="Georgia"/>
          <w:sz w:val="22"/>
        </w:rPr>
        <w:t>to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improve</w:t>
      </w:r>
      <w:r>
        <w:rPr>
          <w:rFonts w:ascii="Georgia"/>
          <w:spacing w:val="-4"/>
          <w:sz w:val="22"/>
        </w:rPr>
        <w:t> </w:t>
      </w:r>
      <w:r>
        <w:rPr>
          <w:rFonts w:ascii="Georgia"/>
          <w:sz w:val="22"/>
        </w:rPr>
        <w:t>the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customer</w:t>
      </w:r>
      <w:r>
        <w:rPr>
          <w:rFonts w:ascii="Georgia"/>
          <w:spacing w:val="-51"/>
          <w:sz w:val="22"/>
        </w:rPr>
        <w:t> </w:t>
      </w:r>
      <w:r>
        <w:rPr>
          <w:rFonts w:ascii="Georgia"/>
          <w:sz w:val="22"/>
        </w:rPr>
        <w:t>service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experience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and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deliver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services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to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all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those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in</w:t>
      </w:r>
      <w:r>
        <w:rPr>
          <w:rFonts w:ascii="Georgia"/>
          <w:spacing w:val="-2"/>
          <w:sz w:val="22"/>
        </w:rPr>
        <w:t> </w:t>
      </w:r>
      <w:r>
        <w:rPr>
          <w:rFonts w:ascii="Georgia"/>
          <w:sz w:val="22"/>
        </w:rPr>
        <w:t>need</w:t>
      </w:r>
      <w:r>
        <w:rPr>
          <w:rFonts w:ascii="Georgia"/>
          <w:spacing w:val="-1"/>
          <w:sz w:val="22"/>
        </w:rPr>
        <w:t> </w:t>
      </w:r>
      <w:r>
        <w:rPr>
          <w:rFonts w:ascii="Georgia"/>
          <w:sz w:val="22"/>
        </w:rPr>
        <w:t>of</w:t>
      </w:r>
      <w:r>
        <w:rPr>
          <w:rFonts w:ascii="Georgia"/>
          <w:spacing w:val="2"/>
          <w:sz w:val="22"/>
        </w:rPr>
        <w:t> </w:t>
      </w:r>
      <w:r>
        <w:rPr>
          <w:rFonts w:ascii="Georgia"/>
          <w:sz w:val="22"/>
        </w:rPr>
        <w:t>assistance.</w:t>
      </w:r>
    </w:p>
    <w:p>
      <w:pPr>
        <w:pStyle w:val="BodyText"/>
        <w:spacing w:before="2"/>
        <w:rPr>
          <w:rFonts w:ascii="Georgia"/>
          <w:sz w:val="25"/>
        </w:rPr>
      </w:pPr>
    </w:p>
    <w:p>
      <w:pPr>
        <w:spacing w:line="552" w:lineRule="auto" w:before="1"/>
        <w:ind w:left="120" w:right="8297" w:firstLine="0"/>
        <w:jc w:val="left"/>
        <w:rPr>
          <w:rFonts w:ascii="Georgia"/>
          <w:sz w:val="22"/>
        </w:rPr>
      </w:pPr>
      <w:r>
        <w:rPr>
          <w:rFonts w:ascii="Georgia"/>
          <w:sz w:val="22"/>
        </w:rPr>
        <w:t>Sincerely,</w:t>
      </w:r>
      <w:r>
        <w:rPr>
          <w:rFonts w:ascii="Georgia"/>
          <w:spacing w:val="1"/>
          <w:sz w:val="22"/>
        </w:rPr>
        <w:t> </w:t>
      </w:r>
      <w:r>
        <w:rPr>
          <w:rFonts w:ascii="Georgia"/>
          <w:sz w:val="22"/>
        </w:rPr>
        <w:t>Larry</w:t>
      </w:r>
      <w:r>
        <w:rPr>
          <w:rFonts w:ascii="Georgia"/>
          <w:spacing w:val="-13"/>
          <w:sz w:val="22"/>
        </w:rPr>
        <w:t> </w:t>
      </w:r>
      <w:r>
        <w:rPr>
          <w:rFonts w:ascii="Georgia"/>
          <w:sz w:val="22"/>
        </w:rPr>
        <w:t>Hogan</w:t>
      </w:r>
    </w:p>
    <w:p>
      <w:pPr>
        <w:spacing w:after="0" w:line="552" w:lineRule="auto"/>
        <w:jc w:val="left"/>
        <w:rPr>
          <w:rFonts w:ascii="Georgia"/>
          <w:sz w:val="22"/>
        </w:rPr>
        <w:sectPr>
          <w:headerReference w:type="default" r:id="rId6"/>
          <w:footerReference w:type="default" r:id="rId7"/>
          <w:pgSz w:w="12240" w:h="15840"/>
          <w:pgMar w:header="720" w:footer="800" w:top="1360" w:bottom="980" w:left="1320" w:right="1260"/>
          <w:pgNumType w:start="2"/>
        </w:sectPr>
      </w:pPr>
    </w:p>
    <w:p>
      <w:pPr>
        <w:spacing w:before="81"/>
        <w:ind w:left="120" w:right="0" w:firstLine="0"/>
        <w:jc w:val="left"/>
        <w:rPr>
          <w:b/>
          <w:sz w:val="28"/>
        </w:rPr>
      </w:pPr>
      <w:r>
        <w:rPr>
          <w:b/>
          <w:sz w:val="28"/>
        </w:rPr>
        <w:t>Table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of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Contents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8899" w:val="right" w:leader="none"/>
            </w:tabs>
            <w:spacing w:before="262"/>
          </w:pPr>
          <w:hyperlink w:history="true" w:anchor="_TOC_250007">
            <w:r>
              <w:rPr/>
              <w:t>Customer Service</w:t>
            </w:r>
            <w:r>
              <w:rPr>
                <w:spacing w:val="-1"/>
              </w:rPr>
              <w:t> </w:t>
            </w:r>
            <w:r>
              <w:rPr/>
              <w:t>Feedback from</w:t>
            </w:r>
            <w:r>
              <w:rPr>
                <w:spacing w:val="-2"/>
              </w:rPr>
              <w:t> </w:t>
            </w:r>
            <w:r>
              <w:rPr/>
              <w:t>Marylanders</w:t>
              <w:tab/>
              <w:t>4</w:t>
            </w:r>
          </w:hyperlink>
        </w:p>
        <w:p>
          <w:pPr>
            <w:pStyle w:val="TOC1"/>
            <w:tabs>
              <w:tab w:pos="8899" w:val="right" w:leader="none"/>
            </w:tabs>
            <w:spacing w:before="265"/>
            <w:ind w:left="120"/>
          </w:pPr>
          <w:r>
            <w:rPr/>
            <w:t>Feedback Loop</w:t>
            <w:tab/>
            <w:t>5</w:t>
          </w:r>
        </w:p>
        <w:p>
          <w:pPr>
            <w:pStyle w:val="TOC1"/>
            <w:tabs>
              <w:tab w:pos="8899" w:val="right" w:leader="none"/>
            </w:tabs>
          </w:pPr>
          <w:hyperlink w:history="true" w:anchor="_TOC_250006">
            <w:r>
              <w:rPr/>
              <w:t>Pandemic</w:t>
            </w:r>
            <w:r>
              <w:rPr>
                <w:spacing w:val="-1"/>
              </w:rPr>
              <w:t> </w:t>
            </w:r>
            <w:r>
              <w:rPr/>
              <w:t>Related</w:t>
            </w:r>
            <w:r>
              <w:rPr>
                <w:spacing w:val="-1"/>
              </w:rPr>
              <w:t> </w:t>
            </w:r>
            <w:r>
              <w:rPr/>
              <w:t>Adjustments to</w:t>
            </w:r>
            <w:r>
              <w:rPr>
                <w:spacing w:val="-1"/>
              </w:rPr>
              <w:t> </w:t>
            </w:r>
            <w:r>
              <w:rPr/>
              <w:t>Meet Customer</w:t>
            </w:r>
            <w:r>
              <w:rPr>
                <w:spacing w:val="1"/>
              </w:rPr>
              <w:t> </w:t>
            </w:r>
            <w:r>
              <w:rPr/>
              <w:t>Needs</w:t>
              <w:tab/>
              <w:t>6</w:t>
            </w:r>
          </w:hyperlink>
        </w:p>
        <w:p>
          <w:pPr>
            <w:pStyle w:val="TOC1"/>
            <w:tabs>
              <w:tab w:pos="8899" w:val="right" w:leader="none"/>
            </w:tabs>
            <w:spacing w:before="265"/>
          </w:pPr>
          <w:hyperlink w:history="true" w:anchor="_TOC_250005">
            <w:r>
              <w:rPr/>
              <w:t>Maryland</w:t>
            </w:r>
            <w:r>
              <w:rPr>
                <w:spacing w:val="-1"/>
              </w:rPr>
              <w:t> </w:t>
            </w:r>
            <w:r>
              <w:rPr/>
              <w:t>Department</w:t>
            </w:r>
            <w:r>
              <w:rPr>
                <w:spacing w:val="-1"/>
              </w:rPr>
              <w:t> </w:t>
            </w:r>
            <w:r>
              <w:rPr/>
              <w:t>of Health</w:t>
              <w:tab/>
              <w:t>7</w:t>
            </w:r>
          </w:hyperlink>
        </w:p>
        <w:p>
          <w:pPr>
            <w:pStyle w:val="TOC1"/>
            <w:tabs>
              <w:tab w:pos="8899" w:val="right" w:leader="none"/>
            </w:tabs>
          </w:pPr>
          <w:r>
            <w:rPr/>
            <w:t>Maryland</w:t>
          </w:r>
          <w:r>
            <w:rPr>
              <w:spacing w:val="-2"/>
            </w:rPr>
            <w:t> </w:t>
          </w:r>
          <w:r>
            <w:rPr/>
            <w:t>Department</w:t>
          </w:r>
          <w:r>
            <w:rPr>
              <w:spacing w:val="-2"/>
            </w:rPr>
            <w:t> </w:t>
          </w:r>
          <w:r>
            <w:rPr/>
            <w:t>of</w:t>
          </w:r>
          <w:r>
            <w:rPr>
              <w:spacing w:val="-1"/>
            </w:rPr>
            <w:t> </w:t>
          </w:r>
          <w:r>
            <w:rPr/>
            <w:t>Housing</w:t>
          </w:r>
          <w:r>
            <w:rPr>
              <w:spacing w:val="-1"/>
            </w:rPr>
            <w:t> </w:t>
          </w:r>
          <w:r>
            <w:rPr/>
            <w:t>and</w:t>
          </w:r>
          <w:r>
            <w:rPr>
              <w:spacing w:val="-1"/>
            </w:rPr>
            <w:t> </w:t>
          </w:r>
          <w:r>
            <w:rPr/>
            <w:t>Community Development</w:t>
            <w:tab/>
            <w:t>9</w:t>
          </w:r>
        </w:p>
        <w:p>
          <w:pPr>
            <w:pStyle w:val="TOC1"/>
            <w:tabs>
              <w:tab w:pos="9040" w:val="right" w:leader="none"/>
            </w:tabs>
            <w:spacing w:before="265"/>
          </w:pPr>
          <w:hyperlink w:history="true" w:anchor="_TOC_250004">
            <w:r>
              <w:rPr/>
              <w:t>Maryland</w:t>
            </w:r>
            <w:r>
              <w:rPr>
                <w:spacing w:val="-1"/>
              </w:rPr>
              <w:t> </w:t>
            </w:r>
            <w:r>
              <w:rPr/>
              <w:t>Department</w:t>
            </w:r>
            <w:r>
              <w:rPr>
                <w:spacing w:val="-1"/>
              </w:rPr>
              <w:t> </w:t>
            </w:r>
            <w:r>
              <w:rPr/>
              <w:t>of Labor</w:t>
              <w:tab/>
              <w:t>10</w:t>
            </w:r>
          </w:hyperlink>
        </w:p>
        <w:p>
          <w:pPr>
            <w:pStyle w:val="TOC1"/>
            <w:tabs>
              <w:tab w:pos="9040" w:val="right" w:leader="none"/>
            </w:tabs>
          </w:pPr>
          <w:hyperlink w:history="true" w:anchor="_TOC_250003">
            <w:r>
              <w:rPr/>
              <w:t>Maryland</w:t>
            </w:r>
            <w:r>
              <w:rPr>
                <w:spacing w:val="-1"/>
              </w:rPr>
              <w:t> </w:t>
            </w:r>
            <w:r>
              <w:rPr/>
              <w:t>Department</w:t>
            </w:r>
            <w:r>
              <w:rPr>
                <w:spacing w:val="-1"/>
              </w:rPr>
              <w:t> </w:t>
            </w:r>
            <w:r>
              <w:rPr/>
              <w:t>of Commerce</w:t>
              <w:tab/>
              <w:t>12</w:t>
            </w:r>
          </w:hyperlink>
        </w:p>
        <w:p>
          <w:pPr>
            <w:pStyle w:val="TOC1"/>
            <w:tabs>
              <w:tab w:pos="9040" w:val="right" w:leader="none"/>
            </w:tabs>
            <w:spacing w:before="265"/>
          </w:pPr>
          <w:hyperlink w:history="true" w:anchor="_TOC_250002">
            <w:r>
              <w:rPr/>
              <w:t>Maryland</w:t>
            </w:r>
            <w:r>
              <w:rPr>
                <w:spacing w:val="-1"/>
              </w:rPr>
              <w:t> </w:t>
            </w:r>
            <w:r>
              <w:rPr/>
              <w:t>Emergency</w:t>
            </w:r>
            <w:r>
              <w:rPr>
                <w:spacing w:val="-1"/>
              </w:rPr>
              <w:t> </w:t>
            </w:r>
            <w:r>
              <w:rPr/>
              <w:t>Management</w:t>
            </w:r>
            <w:r>
              <w:rPr>
                <w:spacing w:val="-1"/>
              </w:rPr>
              <w:t> </w:t>
            </w:r>
            <w:r>
              <w:rPr/>
              <w:t>Information</w:t>
            </w:r>
            <w:r>
              <w:rPr>
                <w:spacing w:val="-1"/>
              </w:rPr>
              <w:t> </w:t>
            </w:r>
            <w:r>
              <w:rPr/>
              <w:t>Portal</w:t>
              <w:tab/>
              <w:t>15</w:t>
            </w:r>
          </w:hyperlink>
        </w:p>
        <w:p>
          <w:pPr>
            <w:pStyle w:val="TOC1"/>
            <w:tabs>
              <w:tab w:pos="9039" w:val="right" w:leader="none"/>
            </w:tabs>
          </w:pPr>
          <w:hyperlink w:history="true" w:anchor="_TOC_250001">
            <w:r>
              <w:rPr/>
              <w:t>Maryland</w:t>
            </w:r>
            <w:r>
              <w:rPr>
                <w:spacing w:val="-1"/>
              </w:rPr>
              <w:t> </w:t>
            </w:r>
            <w:r>
              <w:rPr/>
              <w:t>Department</w:t>
            </w:r>
            <w:r>
              <w:rPr>
                <w:spacing w:val="-1"/>
              </w:rPr>
              <w:t> </w:t>
            </w:r>
            <w:r>
              <w:rPr/>
              <w:t>of the</w:t>
            </w:r>
            <w:r>
              <w:rPr>
                <w:spacing w:val="-2"/>
              </w:rPr>
              <w:t> </w:t>
            </w:r>
            <w:r>
              <w:rPr/>
              <w:t>Environment</w:t>
              <w:tab/>
              <w:t>17</w:t>
            </w:r>
          </w:hyperlink>
        </w:p>
        <w:p>
          <w:pPr>
            <w:pStyle w:val="TOC1"/>
            <w:tabs>
              <w:tab w:pos="9039" w:val="right" w:leader="none"/>
            </w:tabs>
          </w:pPr>
          <w:hyperlink w:history="true" w:anchor="_TOC_250000">
            <w:r>
              <w:rPr/>
              <w:t>Future</w:t>
            </w:r>
            <w:r>
              <w:rPr>
                <w:spacing w:val="-2"/>
              </w:rPr>
              <w:t> </w:t>
            </w:r>
            <w:r>
              <w:rPr/>
              <w:t>Plans</w:t>
              <w:tab/>
              <w:t>18</w:t>
            </w:r>
          </w:hyperlink>
        </w:p>
      </w:sdtContent>
    </w:sdt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</w:pPr>
      <w:bookmarkStart w:name="_TOC_250007" w:id="3"/>
      <w:bookmarkStart w:name="Customer Service Feedback from Marylande" w:id="4"/>
      <w:r>
        <w:rPr>
          <w:b w:val="0"/>
        </w:rPr>
      </w:r>
      <w:r>
        <w:rPr/>
        <w:t>Customer</w:t>
      </w:r>
      <w:r>
        <w:rPr>
          <w:spacing w:val="-5"/>
        </w:rPr>
        <w:t> </w:t>
      </w:r>
      <w:r>
        <w:rPr/>
        <w:t>Service</w:t>
      </w:r>
      <w:r>
        <w:rPr>
          <w:spacing w:val="-4"/>
        </w:rPr>
        <w:t> </w:t>
      </w:r>
      <w:r>
        <w:rPr/>
        <w:t>Feedback</w:t>
      </w:r>
      <w:r>
        <w:rPr>
          <w:spacing w:val="-6"/>
        </w:rPr>
        <w:t> </w:t>
      </w:r>
      <w:r>
        <w:rPr/>
        <w:t>from</w:t>
      </w:r>
      <w:r>
        <w:rPr>
          <w:spacing w:val="-5"/>
        </w:rPr>
        <w:t> </w:t>
      </w:r>
      <w:bookmarkEnd w:id="3"/>
      <w:r>
        <w:rPr/>
        <w:t>Marylanders</w:t>
      </w:r>
    </w:p>
    <w:p>
      <w:pPr>
        <w:pStyle w:val="BodyText"/>
        <w:spacing w:before="9"/>
        <w:rPr>
          <w:b/>
          <w:sz w:val="23"/>
        </w:rPr>
      </w:pPr>
    </w:p>
    <w:p>
      <w:pPr>
        <w:pStyle w:val="BodyText"/>
        <w:ind w:left="120" w:right="330"/>
      </w:pPr>
      <w:r>
        <w:rPr/>
        <w:t>The Governor’s Customer Feedback Survey provides Marylanders with an opportunity to give</w:t>
      </w:r>
      <w:r>
        <w:rPr>
          <w:spacing w:val="1"/>
        </w:rPr>
        <w:t> </w:t>
      </w:r>
      <w:r>
        <w:rPr/>
        <w:t>feedback about their interactions with state government. In Fiscal Year 2020 (FY20), July 1,</w:t>
      </w:r>
      <w:r>
        <w:rPr>
          <w:spacing w:val="1"/>
        </w:rPr>
        <w:t> </w:t>
      </w:r>
      <w:r>
        <w:rPr/>
        <w:t>2019 - June 30, 2020, the state received 70,762 survey responses with 57,660 respondents</w:t>
      </w:r>
      <w:r>
        <w:rPr>
          <w:spacing w:val="1"/>
        </w:rPr>
        <w:t> </w:t>
      </w:r>
      <w:r>
        <w:rPr/>
        <w:t>indicating they were satisfied with the overall customer service experience. The overall average</w:t>
      </w:r>
      <w:r>
        <w:rPr>
          <w:spacing w:val="-57"/>
        </w:rPr>
        <w:t> </w:t>
      </w:r>
      <w:r>
        <w:rPr/>
        <w:t>customer satisfaction rating is 81%.</w:t>
      </w:r>
      <w:r>
        <w:rPr>
          <w:spacing w:val="1"/>
        </w:rPr>
        <w:t> </w:t>
      </w:r>
      <w:r>
        <w:rPr/>
        <w:t>The Hogan-Rutherford Administration has received an</w:t>
      </w:r>
      <w:r>
        <w:rPr>
          <w:spacing w:val="1"/>
        </w:rPr>
        <w:t> </w:t>
      </w:r>
      <w:r>
        <w:rPr/>
        <w:t>overall customer satisfaction rating of 81% or higher every year. We are pleased to share some</w:t>
      </w:r>
      <w:r>
        <w:rPr>
          <w:spacing w:val="1"/>
        </w:rPr>
        <w:t> </w:t>
      </w:r>
      <w:r>
        <w:rPr/>
        <w:t>of</w:t>
      </w:r>
      <w:r>
        <w:rPr>
          <w:spacing w:val="-2"/>
        </w:rPr>
        <w:t> </w:t>
      </w:r>
      <w:r>
        <w:rPr/>
        <w:t>the highlights from</w:t>
      </w:r>
      <w:r>
        <w:rPr>
          <w:spacing w:val="-3"/>
        </w:rPr>
        <w:t> </w:t>
      </w:r>
      <w:r>
        <w:rPr/>
        <w:t>FY20 efforts to</w:t>
      </w:r>
      <w:r>
        <w:rPr>
          <w:spacing w:val="-1"/>
        </w:rPr>
        <w:t> </w:t>
      </w:r>
      <w:r>
        <w:rPr/>
        <w:t>improve the customer</w:t>
      </w:r>
      <w:r>
        <w:rPr>
          <w:spacing w:val="-1"/>
        </w:rPr>
        <w:t> </w:t>
      </w:r>
      <w:r>
        <w:rPr/>
        <w:t>service experience.</w:t>
      </w:r>
    </w:p>
    <w:p>
      <w:pPr>
        <w:pStyle w:val="BodyText"/>
      </w:pPr>
    </w:p>
    <w:p>
      <w:pPr>
        <w:pStyle w:val="BodyText"/>
        <w:ind w:left="120" w:right="302"/>
      </w:pPr>
      <w:r>
        <w:rPr/>
        <w:t>The State collects feedback from multiple sources including data from survey links in Maryland</w:t>
      </w:r>
      <w:r>
        <w:rPr>
          <w:spacing w:val="-57"/>
        </w:rPr>
        <w:t> </w:t>
      </w:r>
      <w:r>
        <w:rPr/>
        <w:t>employee</w:t>
      </w:r>
      <w:r>
        <w:rPr>
          <w:spacing w:val="-1"/>
        </w:rPr>
        <w:t> </w:t>
      </w:r>
      <w:r>
        <w:rPr/>
        <w:t>email</w:t>
      </w:r>
      <w:r>
        <w:rPr>
          <w:spacing w:val="-1"/>
        </w:rPr>
        <w:t> </w:t>
      </w:r>
      <w:r>
        <w:rPr/>
        <w:t>signature</w:t>
      </w:r>
      <w:r>
        <w:rPr>
          <w:spacing w:val="-1"/>
        </w:rPr>
        <w:t> </w:t>
      </w:r>
      <w:r>
        <w:rPr/>
        <w:t>blocks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</w:t>
      </w:r>
      <w:r>
        <w:rPr/>
        <w:t>various</w:t>
      </w:r>
      <w:r>
        <w:rPr>
          <w:spacing w:val="-3"/>
        </w:rPr>
        <w:t> </w:t>
      </w:r>
      <w:r>
        <w:rPr/>
        <w:t>places</w:t>
      </w:r>
      <w:r>
        <w:rPr>
          <w:spacing w:val="-1"/>
        </w:rPr>
        <w:t> </w:t>
      </w:r>
      <w:r>
        <w:rPr/>
        <w:t>on</w:t>
      </w:r>
      <w:r>
        <w:rPr>
          <w:spacing w:val="-3"/>
        </w:rPr>
        <w:t> </w:t>
      </w:r>
      <w:r>
        <w:rPr/>
        <w:t>agency</w:t>
      </w:r>
      <w:r>
        <w:rPr>
          <w:spacing w:val="-1"/>
        </w:rPr>
        <w:t> </w:t>
      </w:r>
      <w:r>
        <w:rPr/>
        <w:t>websites</w:t>
      </w:r>
      <w:r>
        <w:rPr>
          <w:spacing w:val="-1"/>
        </w:rPr>
        <w:t> </w:t>
      </w:r>
      <w:r>
        <w:rPr/>
        <w:t>with</w:t>
      </w:r>
      <w:r>
        <w:rPr>
          <w:spacing w:val="-1"/>
        </w:rPr>
        <w:t> </w:t>
      </w:r>
      <w:r>
        <w:rPr/>
        <w:t>the</w:t>
      </w:r>
      <w:r>
        <w:rPr>
          <w:spacing w:val="-1"/>
        </w:rPr>
        <w:t> </w:t>
      </w:r>
      <w:r>
        <w:rPr/>
        <w:t>“Give</w:t>
      </w:r>
      <w:r>
        <w:rPr>
          <w:spacing w:val="-1"/>
        </w:rPr>
        <w:t> </w:t>
      </w:r>
      <w:r>
        <w:rPr/>
        <w:t>the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2158915</wp:posOffset>
            </wp:positionH>
            <wp:positionV relativeFrom="paragraph">
              <wp:posOffset>184033</wp:posOffset>
            </wp:positionV>
            <wp:extent cx="3406897" cy="1019460"/>
            <wp:effectExtent l="0" t="0" r="0" b="0"/>
            <wp:wrapTopAndBottom/>
            <wp:docPr id="7" name="image3.png" descr="Statewide Customer Service Annual Report FY20 - header &amp; footer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6897" cy="1019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sz w:val="34"/>
        </w:rPr>
      </w:pPr>
    </w:p>
    <w:p>
      <w:pPr>
        <w:pStyle w:val="BodyText"/>
        <w:spacing w:before="1"/>
        <w:ind w:left="120" w:right="263"/>
      </w:pPr>
      <w:r>
        <w:rPr/>
        <w:t>Governor Your Feedback” logo; after customers complete an online transaction; Maryland</w:t>
      </w:r>
      <w:r>
        <w:rPr>
          <w:spacing w:val="1"/>
        </w:rPr>
        <w:t> </w:t>
      </w:r>
      <w:r>
        <w:rPr/>
        <w:t>Business Express, where survey links allow businesses to provide feedback; and after various</w:t>
      </w:r>
      <w:r>
        <w:rPr>
          <w:spacing w:val="1"/>
        </w:rPr>
        <w:t> </w:t>
      </w:r>
      <w:r>
        <w:rPr/>
        <w:t>events to improve the customer experience. In addition, the Department of Transportation</w:t>
      </w:r>
      <w:r>
        <w:rPr>
          <w:spacing w:val="1"/>
        </w:rPr>
        <w:t> </w:t>
      </w:r>
      <w:r>
        <w:rPr/>
        <w:t>utilizes a third-party, independent contractor to collect survey feedback throughout the year; this</w:t>
      </w:r>
      <w:r>
        <w:rPr>
          <w:spacing w:val="-57"/>
        </w:rPr>
        <w:t> </w:t>
      </w:r>
      <w:r>
        <w:rPr/>
        <w:t>survey</w:t>
      </w:r>
      <w:r>
        <w:rPr>
          <w:spacing w:val="-1"/>
        </w:rPr>
        <w:t> </w:t>
      </w:r>
      <w:r>
        <w:rPr/>
        <w:t>shows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</w:t>
      </w:r>
      <w:r>
        <w:rPr/>
        <w:t>similar customer</w:t>
      </w:r>
      <w:r>
        <w:rPr>
          <w:spacing w:val="-1"/>
        </w:rPr>
        <w:t> </w:t>
      </w:r>
      <w:r>
        <w:rPr/>
        <w:t>satisfaction</w:t>
      </w:r>
      <w:r>
        <w:rPr>
          <w:spacing w:val="-1"/>
        </w:rPr>
        <w:t> </w:t>
      </w:r>
      <w:r>
        <w:rPr/>
        <w:t>rating, helping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</w:t>
      </w:r>
      <w:r>
        <w:rPr/>
        <w:t>confirm</w:t>
      </w:r>
      <w:r>
        <w:rPr>
          <w:spacing w:val="-2"/>
        </w:rPr>
        <w:t> </w:t>
      </w:r>
      <w:r>
        <w:rPr/>
        <w:t>the</w:t>
      </w:r>
      <w:r>
        <w:rPr>
          <w:spacing w:val="-1"/>
        </w:rPr>
        <w:t> </w:t>
      </w:r>
      <w:r>
        <w:rPr/>
        <w:t>quality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</w:t>
      </w:r>
      <w:r>
        <w:rPr/>
        <w:t>data.</w:t>
      </w:r>
    </w:p>
    <w:p>
      <w:pPr>
        <w:pStyle w:val="BodyText"/>
        <w:spacing w:before="4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3105005</wp:posOffset>
            </wp:positionH>
            <wp:positionV relativeFrom="paragraph">
              <wp:posOffset>144169</wp:posOffset>
            </wp:positionV>
            <wp:extent cx="1455544" cy="1467516"/>
            <wp:effectExtent l="0" t="0" r="0" b="0"/>
            <wp:wrapTopAndBottom/>
            <wp:docPr id="9" name="image4.jpeg" descr="Statewide Customer Service Annual Report FY20 - feedback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5544" cy="146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6"/>
        </w:rPr>
        <w:sectPr>
          <w:pgSz w:w="12240" w:h="15840"/>
          <w:pgMar w:header="720" w:footer="800" w:top="1360" w:bottom="980" w:left="1320" w:right="1260"/>
        </w:sectPr>
      </w:pPr>
    </w:p>
    <w:p>
      <w:pPr>
        <w:spacing w:before="79"/>
        <w:ind w:left="120" w:right="0" w:firstLine="0"/>
        <w:jc w:val="left"/>
        <w:rPr>
          <w:b/>
          <w:sz w:val="28"/>
        </w:rPr>
      </w:pPr>
      <w:r>
        <w:rPr>
          <w:b/>
          <w:sz w:val="28"/>
        </w:rPr>
        <w:t>Feedback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Loop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-</w:t>
      </w:r>
      <w:r>
        <w:rPr>
          <w:b/>
          <w:spacing w:val="-1"/>
          <w:sz w:val="28"/>
        </w:rPr>
        <w:t> </w:t>
      </w:r>
      <w:r>
        <w:rPr>
          <w:b/>
          <w:sz w:val="28"/>
        </w:rPr>
        <w:t>Take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Action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&amp;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Follow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Up</w:t>
      </w:r>
    </w:p>
    <w:p>
      <w:pPr>
        <w:pStyle w:val="BodyText"/>
        <w:spacing w:before="9"/>
        <w:rPr>
          <w:b/>
          <w:sz w:val="23"/>
        </w:rPr>
      </w:pPr>
    </w:p>
    <w:p>
      <w:pPr>
        <w:pStyle w:val="BodyText"/>
        <w:ind w:left="120" w:right="209"/>
      </w:pPr>
      <w:r>
        <w:rPr/>
        <w:t>Information provided by Marylanders through the survey is used to improve products and</w:t>
      </w:r>
      <w:r>
        <w:rPr>
          <w:spacing w:val="1"/>
        </w:rPr>
        <w:t> </w:t>
      </w:r>
      <w:r>
        <w:rPr/>
        <w:t>services, and to take action so that state agencies can follow up with customers. For example, the</w:t>
      </w:r>
      <w:r>
        <w:rPr>
          <w:spacing w:val="-57"/>
        </w:rPr>
        <w:t> </w:t>
      </w:r>
      <w:r>
        <w:rPr/>
        <w:t>Governor’s Office of Community Initiatives and the Governor’s Office of Small, Minority, and</w:t>
      </w:r>
      <w:r>
        <w:rPr>
          <w:spacing w:val="1"/>
        </w:rPr>
        <w:t> </w:t>
      </w:r>
      <w:r>
        <w:rPr/>
        <w:t>Women’s Business Affairs conducts close to 800 events per year and uses the feedback from</w:t>
      </w:r>
      <w:r>
        <w:rPr>
          <w:spacing w:val="1"/>
        </w:rPr>
        <w:t> </w:t>
      </w:r>
      <w:r>
        <w:rPr/>
        <w:t>these</w:t>
      </w:r>
      <w:r>
        <w:rPr>
          <w:spacing w:val="-1"/>
        </w:rPr>
        <w:t> </w:t>
      </w:r>
      <w:r>
        <w:rPr/>
        <w:t>events</w:t>
      </w:r>
      <w:r>
        <w:rPr>
          <w:spacing w:val="-2"/>
        </w:rPr>
        <w:t> </w:t>
      </w:r>
      <w:r>
        <w:rPr/>
        <w:t>to adapt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</w:t>
      </w:r>
      <w:r>
        <w:rPr/>
        <w:t>real time</w:t>
      </w:r>
      <w:r>
        <w:rPr>
          <w:spacing w:val="-1"/>
        </w:rPr>
        <w:t> </w:t>
      </w:r>
      <w:r>
        <w:rPr/>
        <w:t>and improve</w:t>
      </w:r>
      <w:r>
        <w:rPr>
          <w:spacing w:val="-1"/>
        </w:rPr>
        <w:t> </w:t>
      </w:r>
      <w:r>
        <w:rPr/>
        <w:t>programming and the</w:t>
      </w:r>
      <w:r>
        <w:rPr>
          <w:spacing w:val="-1"/>
        </w:rPr>
        <w:t> </w:t>
      </w:r>
      <w:r>
        <w:rPr/>
        <w:t>customer experience.</w:t>
      </w:r>
    </w:p>
    <w:p>
      <w:pPr>
        <w:pStyle w:val="BodyText"/>
      </w:pPr>
    </w:p>
    <w:p>
      <w:pPr>
        <w:pStyle w:val="BodyText"/>
        <w:ind w:left="120" w:right="162"/>
      </w:pPr>
      <w:r>
        <w:rPr/>
        <w:t>The</w:t>
      </w:r>
      <w:r>
        <w:rPr>
          <w:spacing w:val="-2"/>
        </w:rPr>
        <w:t> </w:t>
      </w:r>
      <w:r>
        <w:rPr/>
        <w:t>survey</w:t>
      </w:r>
      <w:r>
        <w:rPr>
          <w:spacing w:val="-3"/>
        </w:rPr>
        <w:t> </w:t>
      </w:r>
      <w:r>
        <w:rPr/>
        <w:t>also</w:t>
      </w:r>
      <w:r>
        <w:rPr>
          <w:spacing w:val="-1"/>
        </w:rPr>
        <w:t> </w:t>
      </w:r>
      <w:r>
        <w:rPr/>
        <w:t>provides</w:t>
      </w:r>
      <w:r>
        <w:rPr>
          <w:spacing w:val="-1"/>
        </w:rPr>
        <w:t> </w:t>
      </w:r>
      <w:r>
        <w:rPr/>
        <w:t>users</w:t>
      </w:r>
      <w:r>
        <w:rPr>
          <w:spacing w:val="-2"/>
        </w:rPr>
        <w:t> </w:t>
      </w:r>
      <w:r>
        <w:rPr/>
        <w:t>with</w:t>
      </w:r>
      <w:r>
        <w:rPr>
          <w:spacing w:val="-3"/>
        </w:rPr>
        <w:t> </w:t>
      </w:r>
      <w:r>
        <w:rPr/>
        <w:t>a</w:t>
      </w:r>
      <w:r>
        <w:rPr>
          <w:spacing w:val="-1"/>
        </w:rPr>
        <w:t> </w:t>
      </w:r>
      <w:r>
        <w:rPr/>
        <w:t>field</w:t>
      </w:r>
      <w:r>
        <w:rPr>
          <w:spacing w:val="-1"/>
        </w:rPr>
        <w:t> </w:t>
      </w:r>
      <w:r>
        <w:rPr/>
        <w:t>to</w:t>
      </w:r>
      <w:r>
        <w:rPr>
          <w:spacing w:val="-2"/>
        </w:rPr>
        <w:t> </w:t>
      </w:r>
      <w:r>
        <w:rPr/>
        <w:t>voluntarily</w:t>
      </w:r>
      <w:r>
        <w:rPr>
          <w:spacing w:val="-1"/>
        </w:rPr>
        <w:t> </w:t>
      </w:r>
      <w:r>
        <w:rPr/>
        <w:t>input</w:t>
      </w:r>
      <w:r>
        <w:rPr>
          <w:spacing w:val="-1"/>
        </w:rPr>
        <w:t> </w:t>
      </w:r>
      <w:r>
        <w:rPr/>
        <w:t>Contact</w:t>
      </w:r>
      <w:r>
        <w:rPr>
          <w:spacing w:val="-2"/>
        </w:rPr>
        <w:t> </w:t>
      </w:r>
      <w:r>
        <w:rPr/>
        <w:t>Info,</w:t>
      </w:r>
      <w:r>
        <w:rPr>
          <w:spacing w:val="-1"/>
        </w:rPr>
        <w:t> </w:t>
      </w:r>
      <w:r>
        <w:rPr/>
        <w:t>Reason</w:t>
      </w:r>
      <w:r>
        <w:rPr>
          <w:spacing w:val="-2"/>
        </w:rPr>
        <w:t> </w:t>
      </w:r>
      <w:r>
        <w:rPr/>
        <w:t>for</w:t>
      </w:r>
      <w:r>
        <w:rPr>
          <w:spacing w:val="-1"/>
        </w:rPr>
        <w:t> </w:t>
      </w:r>
      <w:r>
        <w:rPr/>
        <w:t>Contact,</w:t>
      </w:r>
      <w:r>
        <w:rPr>
          <w:spacing w:val="-57"/>
        </w:rPr>
        <w:t> </w:t>
      </w:r>
      <w:r>
        <w:rPr/>
        <w:t>and Comments; approximately half of all survey respondents complete these fields. Each agency</w:t>
      </w:r>
      <w:r>
        <w:rPr>
          <w:spacing w:val="-57"/>
        </w:rPr>
        <w:t> </w:t>
      </w:r>
      <w:r>
        <w:rPr/>
        <w:t>reviews survey responses, either daily or weekly, in order to identify places for change,</w:t>
      </w:r>
      <w:r>
        <w:rPr>
          <w:spacing w:val="1"/>
        </w:rPr>
        <w:t> </w:t>
      </w:r>
      <w:r>
        <w:rPr/>
        <w:t>implement action steps, and to follow up with customers. For example, a survey response from a</w:t>
      </w:r>
      <w:r>
        <w:rPr>
          <w:spacing w:val="-57"/>
        </w:rPr>
        <w:t> </w:t>
      </w:r>
      <w:r>
        <w:rPr/>
        <w:t>healthcare provider about the state’s Prescription Drug Monitoring Program improved</w:t>
      </w:r>
      <w:r>
        <w:rPr>
          <w:spacing w:val="1"/>
        </w:rPr>
        <w:t> </w:t>
      </w:r>
      <w:r>
        <w:rPr/>
        <w:t>collaboration between two divisions within the Department of Health, making it easier for</w:t>
      </w:r>
      <w:r>
        <w:rPr>
          <w:spacing w:val="1"/>
        </w:rPr>
        <w:t> </w:t>
      </w:r>
      <w:r>
        <w:rPr/>
        <w:t>healthcare providers to comply with state requirements. The graphic below illustrates keywords</w:t>
      </w:r>
      <w:r>
        <w:rPr>
          <w:spacing w:val="1"/>
        </w:rPr>
        <w:t> </w:t>
      </w:r>
      <w:r>
        <w:rPr/>
        <w:t>from the Reason for Contact field, and can be filtered by state agencies to perform topic and</w:t>
      </w:r>
      <w:r>
        <w:rPr>
          <w:spacing w:val="1"/>
        </w:rPr>
        <w:t> </w:t>
      </w:r>
      <w:r>
        <w:rPr/>
        <w:t>sentiment</w:t>
      </w:r>
      <w:r>
        <w:rPr>
          <w:spacing w:val="-1"/>
        </w:rPr>
        <w:t> </w:t>
      </w:r>
      <w:r>
        <w:rPr/>
        <w:t>analysis</w:t>
      </w:r>
      <w:r>
        <w:rPr>
          <w:spacing w:val="-1"/>
        </w:rPr>
        <w:t> </w:t>
      </w:r>
      <w:r>
        <w:rPr/>
        <w:t>that</w:t>
      </w:r>
      <w:r>
        <w:rPr>
          <w:spacing w:val="-1"/>
        </w:rPr>
        <w:t> </w:t>
      </w:r>
      <w:r>
        <w:rPr/>
        <w:t>can be used</w:t>
      </w:r>
      <w:r>
        <w:rPr>
          <w:spacing w:val="-1"/>
        </w:rPr>
        <w:t> </w:t>
      </w:r>
      <w:r>
        <w:rPr/>
        <w:t>to pinpoint</w:t>
      </w:r>
      <w:r>
        <w:rPr>
          <w:spacing w:val="-1"/>
        </w:rPr>
        <w:t> </w:t>
      </w:r>
      <w:r>
        <w:rPr/>
        <w:t>areas</w:t>
      </w:r>
      <w:r>
        <w:rPr>
          <w:spacing w:val="-1"/>
        </w:rPr>
        <w:t> </w:t>
      </w:r>
      <w:r>
        <w:rPr/>
        <w:t>to</w:t>
      </w:r>
      <w:r>
        <w:rPr>
          <w:spacing w:val="-2"/>
        </w:rPr>
        <w:t> </w:t>
      </w:r>
      <w:r>
        <w:rPr/>
        <w:t>improve</w:t>
      </w:r>
      <w:r>
        <w:rPr>
          <w:spacing w:val="-1"/>
        </w:rPr>
        <w:t> </w:t>
      </w:r>
      <w:r>
        <w:rPr/>
        <w:t>products</w:t>
      </w:r>
      <w:r>
        <w:rPr>
          <w:spacing w:val="-1"/>
        </w:rPr>
        <w:t> </w:t>
      </w:r>
      <w:r>
        <w:rPr/>
        <w:t>and services.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998652</wp:posOffset>
            </wp:positionH>
            <wp:positionV relativeFrom="paragraph">
              <wp:posOffset>111591</wp:posOffset>
            </wp:positionV>
            <wp:extent cx="5670520" cy="3253740"/>
            <wp:effectExtent l="0" t="0" r="0" b="0"/>
            <wp:wrapTopAndBottom/>
            <wp:docPr id="11" name="image5.jpeg" descr="Statewide Customer Service Annual Report FY20 - thank you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520" cy="3253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1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</w:pPr>
      <w:bookmarkStart w:name="_TOC_250006" w:id="5"/>
      <w:bookmarkStart w:name="Pandemic Related Adjustments to Meet Cus" w:id="6"/>
      <w:r>
        <w:rPr>
          <w:b w:val="0"/>
        </w:rPr>
      </w:r>
      <w:r>
        <w:rPr/>
        <w:t>Pandemic</w:t>
      </w:r>
      <w:r>
        <w:rPr>
          <w:spacing w:val="-5"/>
        </w:rPr>
        <w:t> </w:t>
      </w:r>
      <w:r>
        <w:rPr/>
        <w:t>Related</w:t>
      </w:r>
      <w:r>
        <w:rPr>
          <w:spacing w:val="-3"/>
        </w:rPr>
        <w:t> </w:t>
      </w:r>
      <w:r>
        <w:rPr/>
        <w:t>Adjustments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Meet</w:t>
      </w:r>
      <w:r>
        <w:rPr>
          <w:spacing w:val="-4"/>
        </w:rPr>
        <w:t> </w:t>
      </w:r>
      <w:r>
        <w:rPr/>
        <w:t>Customer</w:t>
      </w:r>
      <w:r>
        <w:rPr>
          <w:spacing w:val="-5"/>
        </w:rPr>
        <w:t> </w:t>
      </w:r>
      <w:bookmarkEnd w:id="5"/>
      <w:r>
        <w:rPr/>
        <w:t>Needs</w:t>
      </w:r>
    </w:p>
    <w:p>
      <w:pPr>
        <w:pStyle w:val="BodyText"/>
        <w:spacing w:before="198"/>
        <w:ind w:left="120" w:right="256"/>
      </w:pPr>
      <w:r>
        <w:rPr/>
        <w:t>The COVID-19 pandemic was a challenge in 2020. All state agencies were asked to deftly adapt</w:t>
      </w:r>
      <w:r>
        <w:rPr>
          <w:spacing w:val="-57"/>
        </w:rPr>
        <w:t> </w:t>
      </w:r>
      <w:r>
        <w:rPr/>
        <w:t>to meet changing customer needs, even as many physical offices were closed. We are proud to</w:t>
      </w:r>
      <w:r>
        <w:rPr>
          <w:spacing w:val="1"/>
        </w:rPr>
        <w:t> </w:t>
      </w:r>
      <w:r>
        <w:rPr/>
        <w:t>highlight some of the initiatives that agencies implemented or modified to make processes run</w:t>
      </w:r>
      <w:r>
        <w:rPr>
          <w:spacing w:val="1"/>
        </w:rPr>
        <w:t> </w:t>
      </w:r>
      <w:r>
        <w:rPr/>
        <w:t>smoother.</w:t>
      </w:r>
      <w:r>
        <w:rPr>
          <w:spacing w:val="-2"/>
        </w:rPr>
        <w:t> </w:t>
      </w:r>
      <w:r>
        <w:rPr/>
        <w:t>These</w:t>
      </w:r>
      <w:r>
        <w:rPr>
          <w:spacing w:val="-2"/>
        </w:rPr>
        <w:t> </w:t>
      </w:r>
      <w:r>
        <w:rPr/>
        <w:t>include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transition</w:t>
      </w:r>
      <w:r>
        <w:rPr>
          <w:spacing w:val="-3"/>
        </w:rPr>
        <w:t> </w:t>
      </w:r>
      <w:r>
        <w:rPr/>
        <w:t>to</w:t>
      </w:r>
      <w:r>
        <w:rPr>
          <w:spacing w:val="-2"/>
        </w:rPr>
        <w:t> </w:t>
      </w:r>
      <w:r>
        <w:rPr/>
        <w:t>providing</w:t>
      </w:r>
      <w:r>
        <w:rPr>
          <w:spacing w:val="-3"/>
        </w:rPr>
        <w:t> </w:t>
      </w:r>
      <w:r>
        <w:rPr/>
        <w:t>online</w:t>
      </w:r>
      <w:r>
        <w:rPr>
          <w:spacing w:val="-2"/>
        </w:rPr>
        <w:t> </w:t>
      </w:r>
      <w:r>
        <w:rPr/>
        <w:t>services,</w:t>
      </w:r>
      <w:r>
        <w:rPr>
          <w:spacing w:val="-1"/>
        </w:rPr>
        <w:t> </w:t>
      </w:r>
      <w:r>
        <w:rPr/>
        <w:t>decreasing</w:t>
      </w:r>
      <w:r>
        <w:rPr>
          <w:spacing w:val="-2"/>
        </w:rPr>
        <w:t> </w:t>
      </w:r>
      <w:r>
        <w:rPr/>
        <w:t>processing</w:t>
      </w:r>
      <w:r>
        <w:rPr>
          <w:spacing w:val="-1"/>
        </w:rPr>
        <w:t> </w:t>
      </w:r>
      <w:r>
        <w:rPr/>
        <w:t>time</w:t>
      </w:r>
      <w:r>
        <w:rPr>
          <w:spacing w:val="-2"/>
        </w:rPr>
        <w:t> </w:t>
      </w:r>
      <w:r>
        <w:rPr/>
        <w:t>for</w:t>
      </w:r>
      <w:r>
        <w:rPr>
          <w:spacing w:val="-57"/>
        </w:rPr>
        <w:t> </w:t>
      </w:r>
      <w:r>
        <w:rPr/>
        <w:t>customer transactions, adjusting hours to meet customer needs, creating new grant and loan</w:t>
      </w:r>
      <w:r>
        <w:rPr>
          <w:spacing w:val="1"/>
        </w:rPr>
        <w:t> </w:t>
      </w:r>
      <w:r>
        <w:rPr/>
        <w:t>programs</w:t>
      </w:r>
      <w:r>
        <w:rPr>
          <w:spacing w:val="-1"/>
        </w:rPr>
        <w:t> </w:t>
      </w:r>
      <w:r>
        <w:rPr/>
        <w:t>to help strengthen Maryland</w:t>
      </w:r>
      <w:r>
        <w:rPr>
          <w:spacing w:val="-1"/>
        </w:rPr>
        <w:t> </w:t>
      </w:r>
      <w:r>
        <w:rPr/>
        <w:t>Businesses, and other</w:t>
      </w:r>
      <w:r>
        <w:rPr>
          <w:spacing w:val="-1"/>
        </w:rPr>
        <w:t> </w:t>
      </w:r>
      <w:r>
        <w:rPr/>
        <w:t>initiatives.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914400</wp:posOffset>
            </wp:positionH>
            <wp:positionV relativeFrom="paragraph">
              <wp:posOffset>242179</wp:posOffset>
            </wp:positionV>
            <wp:extent cx="5910079" cy="3720465"/>
            <wp:effectExtent l="0" t="0" r="0" b="0"/>
            <wp:wrapTopAndBottom/>
            <wp:docPr id="13" name="image6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0079" cy="3720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9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  <w:spacing w:before="81"/>
      </w:pPr>
      <w:bookmarkStart w:name="_TOC_250005" w:id="7"/>
      <w:bookmarkStart w:name="Maryland Department of Health" w:id="8"/>
      <w:r>
        <w:rPr>
          <w:b w:val="0"/>
        </w:rPr>
      </w:r>
      <w:r>
        <w:rPr/>
        <w:t>Maryland</w:t>
      </w:r>
      <w:r>
        <w:rPr>
          <w:spacing w:val="-5"/>
        </w:rPr>
        <w:t> </w:t>
      </w:r>
      <w:r>
        <w:rPr/>
        <w:t>Department</w:t>
      </w:r>
      <w:r>
        <w:rPr>
          <w:spacing w:val="-3"/>
        </w:rPr>
        <w:t> </w:t>
      </w:r>
      <w:r>
        <w:rPr/>
        <w:t>of</w:t>
      </w:r>
      <w:r>
        <w:rPr>
          <w:spacing w:val="-4"/>
        </w:rPr>
        <w:t> </w:t>
      </w:r>
      <w:bookmarkEnd w:id="7"/>
      <w:r>
        <w:rPr/>
        <w:t>Health</w:t>
      </w:r>
    </w:p>
    <w:p>
      <w:pPr>
        <w:pStyle w:val="Heading2"/>
      </w:pPr>
      <w:r>
        <w:rPr/>
        <w:t>Communications</w:t>
      </w:r>
      <w:r>
        <w:rPr>
          <w:spacing w:val="-5"/>
        </w:rPr>
        <w:t> </w:t>
      </w:r>
      <w:r>
        <w:rPr/>
        <w:t>Outreach</w:t>
      </w:r>
    </w:p>
    <w:p>
      <w:pPr>
        <w:pStyle w:val="Heading3"/>
        <w:spacing w:before="145"/>
      </w:pPr>
      <w:r>
        <w:rPr/>
        <w:t>COVID-19</w:t>
      </w:r>
      <w:r>
        <w:rPr>
          <w:spacing w:val="-4"/>
        </w:rPr>
        <w:t> </w:t>
      </w:r>
      <w:r>
        <w:rPr/>
        <w:t>Pandemic</w:t>
      </w:r>
      <w:r>
        <w:rPr>
          <w:spacing w:val="-3"/>
        </w:rPr>
        <w:t> </w:t>
      </w:r>
      <w:r>
        <w:rPr/>
        <w:t>Response</w:t>
      </w:r>
    </w:p>
    <w:p>
      <w:pPr>
        <w:pStyle w:val="BodyText"/>
        <w:ind w:left="120" w:right="642"/>
      </w:pPr>
      <w:r>
        <w:rPr/>
        <w:t>In FY20, the Maryland Department of Health has continued to implement its Constituent</w:t>
      </w:r>
      <w:r>
        <w:rPr>
          <w:spacing w:val="1"/>
        </w:rPr>
        <w:t> </w:t>
      </w:r>
      <w:r>
        <w:rPr/>
        <w:t>Services and controlled correspondence process guidelines on inquiries from the Governor’s</w:t>
      </w:r>
      <w:r>
        <w:rPr>
          <w:spacing w:val="-57"/>
        </w:rPr>
        <w:t> </w:t>
      </w:r>
      <w:r>
        <w:rPr/>
        <w:t>Office,</w:t>
      </w:r>
      <w:r>
        <w:rPr>
          <w:spacing w:val="-1"/>
        </w:rPr>
        <w:t> </w:t>
      </w:r>
      <w:r>
        <w:rPr/>
        <w:t>state, and federal</w:t>
      </w:r>
      <w:r>
        <w:rPr>
          <w:spacing w:val="-1"/>
        </w:rPr>
        <w:t> </w:t>
      </w:r>
      <w:r>
        <w:rPr/>
        <w:t>elected officials.</w:t>
      </w: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19" w:right="324"/>
      </w:pPr>
      <w:r>
        <w:rPr/>
        <w:t>The Office of Constituent Services implemented the “</w:t>
      </w:r>
      <w:r>
        <w:rPr>
          <w:b/>
        </w:rPr>
        <w:t>24/7 Rule” </w:t>
      </w:r>
      <w:r>
        <w:rPr/>
        <w:t>requiring that each inquiry</w:t>
      </w:r>
      <w:r>
        <w:rPr>
          <w:spacing w:val="1"/>
        </w:rPr>
        <w:t> </w:t>
      </w:r>
      <w:r>
        <w:rPr/>
        <w:t>receive an acknowledgement from the Maryland Department of Health within </w:t>
      </w:r>
      <w:r>
        <w:rPr>
          <w:b/>
        </w:rPr>
        <w:t>24 hours </w:t>
      </w:r>
      <w:r>
        <w:rPr/>
        <w:t>of</w:t>
      </w:r>
      <w:r>
        <w:rPr>
          <w:spacing w:val="1"/>
        </w:rPr>
        <w:t> </w:t>
      </w:r>
      <w:r>
        <w:rPr/>
        <w:t>receipt. After the acknowledgement has been sent, the clock will then start on a </w:t>
      </w:r>
      <w:r>
        <w:rPr>
          <w:b/>
        </w:rPr>
        <w:t>seven business</w:t>
      </w:r>
      <w:r>
        <w:rPr>
          <w:b/>
          <w:spacing w:val="-57"/>
        </w:rPr>
        <w:t> </w:t>
      </w:r>
      <w:r>
        <w:rPr>
          <w:b/>
        </w:rPr>
        <w:t>day </w:t>
      </w:r>
      <w:r>
        <w:rPr/>
        <w:t>turnaround for case closure. Once the seven business days have elapsed, the case will be</w:t>
      </w:r>
      <w:r>
        <w:rPr>
          <w:spacing w:val="1"/>
        </w:rPr>
        <w:t> </w:t>
      </w:r>
      <w:r>
        <w:rPr/>
        <w:t>considered overdue. Once the case is considered overdue, the Office of Constituent Services</w:t>
      </w:r>
      <w:r>
        <w:rPr>
          <w:spacing w:val="1"/>
        </w:rPr>
        <w:t> </w:t>
      </w:r>
      <w:r>
        <w:rPr/>
        <w:t>maintains daily communication with the Department’s relevant subject matter expert to resolve</w:t>
      </w:r>
      <w:r>
        <w:rPr>
          <w:spacing w:val="1"/>
        </w:rPr>
        <w:t> </w:t>
      </w:r>
      <w:r>
        <w:rPr/>
        <w:t>the inquiry and communicate a resolution to the constituent. Additionally, the Office of</w:t>
      </w:r>
      <w:r>
        <w:rPr>
          <w:spacing w:val="1"/>
        </w:rPr>
        <w:t> </w:t>
      </w:r>
      <w:r>
        <w:rPr/>
        <w:t>Constituent Services generates weekly reports for senior leadership at the Department to review</w:t>
      </w:r>
      <w:r>
        <w:rPr>
          <w:spacing w:val="-57"/>
        </w:rPr>
        <w:t> </w:t>
      </w:r>
      <w:r>
        <w:rPr/>
        <w:t>overdue inquiries. Since March 1, 2020, the Office of Constituent Services has processed and</w:t>
      </w:r>
      <w:r>
        <w:rPr>
          <w:spacing w:val="1"/>
        </w:rPr>
        <w:t> </w:t>
      </w:r>
      <w:r>
        <w:rPr/>
        <w:t>responded</w:t>
      </w:r>
      <w:r>
        <w:rPr>
          <w:spacing w:val="-1"/>
        </w:rPr>
        <w:t> </w:t>
      </w:r>
      <w:r>
        <w:rPr/>
        <w:t>to over 11,100 inquiries</w:t>
      </w:r>
      <w:r>
        <w:rPr>
          <w:spacing w:val="-1"/>
        </w:rPr>
        <w:t> </w:t>
      </w:r>
      <w:r>
        <w:rPr/>
        <w:t>related to</w:t>
      </w:r>
      <w:r>
        <w:rPr>
          <w:spacing w:val="-1"/>
        </w:rPr>
        <w:t> </w:t>
      </w:r>
      <w:r>
        <w:rPr/>
        <w:t>COVID-19.</w:t>
      </w:r>
    </w:p>
    <w:p>
      <w:pPr>
        <w:pStyle w:val="BodyText"/>
        <w:spacing w:before="1"/>
        <w:rPr>
          <w:sz w:val="26"/>
        </w:rPr>
      </w:pPr>
    </w:p>
    <w:p>
      <w:pPr>
        <w:pStyle w:val="Heading3"/>
        <w:spacing w:line="240" w:lineRule="auto"/>
        <w:ind w:left="119"/>
      </w:pPr>
      <w:r>
        <w:rPr/>
        <w:t>Office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Communications</w:t>
      </w:r>
    </w:p>
    <w:p>
      <w:pPr>
        <w:pStyle w:val="BodyText"/>
        <w:spacing w:before="19"/>
        <w:ind w:left="120" w:right="202"/>
      </w:pPr>
      <w:r>
        <w:rPr/>
        <w:t>In FY20, the Secretary’s Office of Communications has produced or facilitated production of the</w:t>
      </w:r>
      <w:r>
        <w:rPr>
          <w:spacing w:val="-58"/>
        </w:rPr>
        <w:t> </w:t>
      </w:r>
      <w:r>
        <w:rPr/>
        <w:t>following COVID-19-specific communications in coordination with multiple Maryland</w:t>
      </w:r>
      <w:r>
        <w:rPr>
          <w:spacing w:val="1"/>
        </w:rPr>
        <w:t> </w:t>
      </w:r>
      <w:r>
        <w:rPr/>
        <w:t>Department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Health</w:t>
      </w:r>
      <w:r>
        <w:rPr>
          <w:spacing w:val="-1"/>
        </w:rPr>
        <w:t> </w:t>
      </w:r>
      <w:r>
        <w:rPr/>
        <w:t>administrations,</w:t>
      </w:r>
      <w:r>
        <w:rPr>
          <w:spacing w:val="-2"/>
        </w:rPr>
        <w:t> </w:t>
      </w:r>
      <w:r>
        <w:rPr/>
        <w:t>offices,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/>
        <w:t>programs,</w:t>
      </w:r>
      <w:r>
        <w:rPr>
          <w:spacing w:val="-2"/>
        </w:rPr>
        <w:t> </w:t>
      </w:r>
      <w:r>
        <w:rPr/>
        <w:t>as</w:t>
      </w:r>
      <w:r>
        <w:rPr>
          <w:spacing w:val="-1"/>
        </w:rPr>
        <w:t> </w:t>
      </w:r>
      <w:r>
        <w:rPr/>
        <w:t>well</w:t>
      </w:r>
      <w:r>
        <w:rPr>
          <w:spacing w:val="-1"/>
        </w:rPr>
        <w:t> </w:t>
      </w:r>
      <w:r>
        <w:rPr/>
        <w:t>as</w:t>
      </w:r>
      <w:r>
        <w:rPr>
          <w:spacing w:val="-1"/>
        </w:rPr>
        <w:t> </w:t>
      </w:r>
      <w:r>
        <w:rPr/>
        <w:t>other</w:t>
      </w:r>
      <w:r>
        <w:rPr>
          <w:spacing w:val="-1"/>
        </w:rPr>
        <w:t> </w:t>
      </w:r>
      <w:r>
        <w:rPr/>
        <w:t>state</w:t>
      </w:r>
      <w:r>
        <w:rPr>
          <w:spacing w:val="-2"/>
        </w:rPr>
        <w:t> </w:t>
      </w:r>
      <w:r>
        <w:rPr/>
        <w:t>agencies:</w:t>
      </w:r>
    </w:p>
    <w:p>
      <w:pPr>
        <w:pStyle w:val="ListParagraph"/>
        <w:numPr>
          <w:ilvl w:val="0"/>
          <w:numId w:val="1"/>
        </w:numPr>
        <w:tabs>
          <w:tab w:pos="1559" w:val="left" w:leader="none"/>
          <w:tab w:pos="1560" w:val="left" w:leader="none"/>
        </w:tabs>
        <w:spacing w:line="240" w:lineRule="auto" w:before="0" w:after="0"/>
        <w:ind w:left="1560" w:right="0" w:hanging="360"/>
        <w:jc w:val="left"/>
        <w:rPr>
          <w:sz w:val="24"/>
        </w:rPr>
      </w:pPr>
      <w:r>
        <w:rPr>
          <w:sz w:val="24"/>
        </w:rPr>
        <w:t>1,692 media</w:t>
      </w:r>
      <w:r>
        <w:rPr>
          <w:spacing w:val="-1"/>
          <w:sz w:val="24"/>
        </w:rPr>
        <w:t> </w:t>
      </w:r>
      <w:r>
        <w:rPr>
          <w:sz w:val="24"/>
        </w:rPr>
        <w:t>inquiries</w:t>
      </w:r>
    </w:p>
    <w:p>
      <w:pPr>
        <w:pStyle w:val="ListParagraph"/>
        <w:numPr>
          <w:ilvl w:val="0"/>
          <w:numId w:val="1"/>
        </w:numPr>
        <w:tabs>
          <w:tab w:pos="1559" w:val="left" w:leader="none"/>
          <w:tab w:pos="1560" w:val="left" w:leader="none"/>
        </w:tabs>
        <w:spacing w:line="240" w:lineRule="auto" w:before="0" w:after="0"/>
        <w:ind w:left="1560" w:right="0" w:hanging="360"/>
        <w:jc w:val="left"/>
        <w:rPr>
          <w:sz w:val="24"/>
        </w:rPr>
      </w:pPr>
      <w:r>
        <w:rPr>
          <w:sz w:val="24"/>
        </w:rPr>
        <w:t>144</w:t>
      </w:r>
      <w:r>
        <w:rPr>
          <w:spacing w:val="-2"/>
          <w:sz w:val="24"/>
        </w:rPr>
        <w:t> </w:t>
      </w:r>
      <w:r>
        <w:rPr>
          <w:sz w:val="24"/>
        </w:rPr>
        <w:t>interviews</w:t>
      </w:r>
    </w:p>
    <w:p>
      <w:pPr>
        <w:pStyle w:val="ListParagraph"/>
        <w:numPr>
          <w:ilvl w:val="0"/>
          <w:numId w:val="1"/>
        </w:numPr>
        <w:tabs>
          <w:tab w:pos="1559" w:val="left" w:leader="none"/>
          <w:tab w:pos="1560" w:val="left" w:leader="none"/>
        </w:tabs>
        <w:spacing w:line="240" w:lineRule="auto" w:before="0" w:after="0"/>
        <w:ind w:left="1560" w:right="0" w:hanging="360"/>
        <w:jc w:val="left"/>
        <w:rPr>
          <w:sz w:val="24"/>
        </w:rPr>
      </w:pPr>
      <w:r>
        <w:rPr>
          <w:sz w:val="24"/>
        </w:rPr>
        <w:t>40</w:t>
      </w:r>
      <w:r>
        <w:rPr>
          <w:spacing w:val="-1"/>
          <w:sz w:val="24"/>
        </w:rPr>
        <w:t> </w:t>
      </w:r>
      <w:r>
        <w:rPr>
          <w:sz w:val="24"/>
        </w:rPr>
        <w:t>press</w:t>
      </w:r>
      <w:r>
        <w:rPr>
          <w:spacing w:val="-1"/>
          <w:sz w:val="24"/>
        </w:rPr>
        <w:t> </w:t>
      </w:r>
      <w:r>
        <w:rPr>
          <w:sz w:val="24"/>
        </w:rPr>
        <w:t>releases</w:t>
      </w:r>
    </w:p>
    <w:p>
      <w:pPr>
        <w:pStyle w:val="ListParagraph"/>
        <w:numPr>
          <w:ilvl w:val="0"/>
          <w:numId w:val="1"/>
        </w:numPr>
        <w:tabs>
          <w:tab w:pos="1559" w:val="left" w:leader="none"/>
          <w:tab w:pos="1560" w:val="left" w:leader="none"/>
        </w:tabs>
        <w:spacing w:line="240" w:lineRule="auto" w:before="0" w:after="0"/>
        <w:ind w:left="1560" w:right="0" w:hanging="360"/>
        <w:jc w:val="left"/>
        <w:rPr>
          <w:sz w:val="24"/>
        </w:rPr>
      </w:pPr>
      <w:r>
        <w:rPr>
          <w:sz w:val="24"/>
        </w:rPr>
        <w:t>303</w:t>
      </w:r>
      <w:r>
        <w:rPr>
          <w:spacing w:val="-2"/>
          <w:sz w:val="24"/>
        </w:rPr>
        <w:t> </w:t>
      </w:r>
      <w:r>
        <w:rPr>
          <w:sz w:val="24"/>
        </w:rPr>
        <w:t>videos/FAQs/fact</w:t>
      </w:r>
      <w:r>
        <w:rPr>
          <w:spacing w:val="-2"/>
          <w:sz w:val="24"/>
        </w:rPr>
        <w:t> </w:t>
      </w:r>
      <w:r>
        <w:rPr>
          <w:sz w:val="24"/>
        </w:rPr>
        <w:t>sheets</w:t>
      </w:r>
    </w:p>
    <w:p>
      <w:pPr>
        <w:pStyle w:val="ListParagraph"/>
        <w:numPr>
          <w:ilvl w:val="0"/>
          <w:numId w:val="1"/>
        </w:numPr>
        <w:tabs>
          <w:tab w:pos="1559" w:val="left" w:leader="none"/>
          <w:tab w:pos="1560" w:val="left" w:leader="none"/>
        </w:tabs>
        <w:spacing w:line="240" w:lineRule="auto" w:before="0" w:after="0"/>
        <w:ind w:left="1560" w:right="378" w:hanging="360"/>
        <w:jc w:val="left"/>
        <w:rPr>
          <w:sz w:val="24"/>
        </w:rPr>
      </w:pPr>
      <w:r>
        <w:rPr>
          <w:sz w:val="24"/>
        </w:rPr>
        <w:t>459 Maryland Department of Health website updates, memos, general guidance,</w:t>
      </w:r>
      <w:r>
        <w:rPr>
          <w:spacing w:val="-57"/>
          <w:sz w:val="24"/>
        </w:rPr>
        <w:t> </w:t>
      </w:r>
      <w:r>
        <w:rPr>
          <w:sz w:val="24"/>
        </w:rPr>
        <w:t>announcements,</w:t>
      </w:r>
      <w:r>
        <w:rPr>
          <w:spacing w:val="-1"/>
          <w:sz w:val="24"/>
        </w:rPr>
        <w:t> </w:t>
      </w:r>
      <w:r>
        <w:rPr>
          <w:sz w:val="24"/>
        </w:rPr>
        <w:t>newsletters or webinars</w:t>
      </w:r>
    </w:p>
    <w:p>
      <w:pPr>
        <w:pStyle w:val="BodyText"/>
      </w:pPr>
    </w:p>
    <w:p>
      <w:pPr>
        <w:pStyle w:val="BodyText"/>
        <w:ind w:left="120" w:right="210"/>
      </w:pPr>
      <w:r>
        <w:rPr/>
        <w:t>The Maryland Department of Health Communications also developed, awarded, and currently</w:t>
      </w:r>
      <w:r>
        <w:rPr>
          <w:spacing w:val="1"/>
        </w:rPr>
        <w:t> </w:t>
      </w:r>
      <w:r>
        <w:rPr/>
        <w:t>manages contracts with two creative and marketing vendors to produce and place COVID-19</w:t>
      </w:r>
      <w:r>
        <w:rPr>
          <w:spacing w:val="1"/>
        </w:rPr>
        <w:t> </w:t>
      </w:r>
      <w:r>
        <w:rPr/>
        <w:t>statewide multimedia campaigns for the purpose of creating awareness on crucial health issues.</w:t>
      </w:r>
      <w:r>
        <w:rPr>
          <w:spacing w:val="1"/>
        </w:rPr>
        <w:t> </w:t>
      </w:r>
      <w:r>
        <w:rPr/>
        <w:t>One contract is specific to encouraging awareness and participation in contact tracing efforts; the</w:t>
      </w:r>
      <w:r>
        <w:rPr>
          <w:spacing w:val="-58"/>
        </w:rPr>
        <w:t> </w:t>
      </w:r>
      <w:r>
        <w:rPr/>
        <w:t>other encompasses use of behavioral-based messaging (e.g., use of masks, social distancing,</w:t>
      </w:r>
      <w:r>
        <w:rPr>
          <w:spacing w:val="1"/>
        </w:rPr>
        <w:t> </w:t>
      </w:r>
      <w:r>
        <w:rPr/>
        <w:t>etc.), which are likely to change as messaging needs change. The Office of Communications is</w:t>
      </w:r>
      <w:r>
        <w:rPr>
          <w:spacing w:val="1"/>
        </w:rPr>
        <w:t> </w:t>
      </w:r>
      <w:r>
        <w:rPr/>
        <w:t>also working with the Office of Minority Health and Health Disparities to develop messaging</w:t>
      </w:r>
      <w:r>
        <w:rPr>
          <w:spacing w:val="1"/>
        </w:rPr>
        <w:t> </w:t>
      </w:r>
      <w:r>
        <w:rPr/>
        <w:t>directed toward especially vulnerable, and at-risk Maryland communities, in both efforts. The</w:t>
      </w:r>
      <w:r>
        <w:rPr>
          <w:spacing w:val="1"/>
        </w:rPr>
        <w:t> </w:t>
      </w:r>
      <w:r>
        <w:rPr/>
        <w:t>Office of Communications also plays a critical coordination role in daily updates and ongoing</w:t>
      </w:r>
      <w:r>
        <w:rPr>
          <w:spacing w:val="1"/>
        </w:rPr>
        <w:t> </w:t>
      </w:r>
      <w:r>
        <w:rPr/>
        <w:t>maintenance for Maryland’s three COVID-19 websites including, </w:t>
      </w:r>
      <w:hyperlink r:id="rId12">
        <w:r>
          <w:rPr>
            <w:color w:val="1154CC"/>
            <w:u w:val="single" w:color="1154CC"/>
          </w:rPr>
          <w:t>coronavirus.maryland.gov</w:t>
        </w:r>
      </w:hyperlink>
      <w:r>
        <w:rPr/>
        <w:t>,</w:t>
      </w:r>
      <w:r>
        <w:rPr>
          <w:spacing w:val="1"/>
        </w:rPr>
        <w:t> </w:t>
      </w:r>
      <w:hyperlink r:id="rId13">
        <w:r>
          <w:rPr>
            <w:color w:val="1154CC"/>
            <w:u w:val="single" w:color="1154CC"/>
          </w:rPr>
          <w:t>covidlink.maryland.gov</w:t>
        </w:r>
      </w:hyperlink>
      <w:r>
        <w:rPr/>
        <w:t>,</w:t>
      </w:r>
      <w:r>
        <w:rPr>
          <w:spacing w:val="-3"/>
        </w:rPr>
        <w:t> </w:t>
      </w:r>
      <w:r>
        <w:rPr/>
        <w:t>and </w:t>
      </w:r>
      <w:hyperlink r:id="rId14">
        <w:r>
          <w:rPr>
            <w:color w:val="1154CC"/>
            <w:u w:val="single" w:color="1154CC"/>
          </w:rPr>
          <w:t>coronavirus.maryland.gov/pages/symptoms-testing</w:t>
        </w:r>
      </w:hyperlink>
      <w:r>
        <w:rPr/>
        <w:t>.</w:t>
      </w:r>
    </w:p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1807"/>
        <w:rPr>
          <w:sz w:val="20"/>
        </w:rPr>
      </w:pPr>
      <w:r>
        <w:rPr>
          <w:sz w:val="20"/>
        </w:rPr>
        <w:drawing>
          <wp:inline distT="0" distB="0" distL="0" distR="0">
            <wp:extent cx="4488142" cy="3281553"/>
            <wp:effectExtent l="0" t="0" r="0" b="0"/>
            <wp:docPr id="15" name="image7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8142" cy="3281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1852296</wp:posOffset>
            </wp:positionH>
            <wp:positionV relativeFrom="paragraph">
              <wp:posOffset>124471</wp:posOffset>
            </wp:positionV>
            <wp:extent cx="4707734" cy="1748408"/>
            <wp:effectExtent l="0" t="0" r="0" b="0"/>
            <wp:wrapTopAndBottom/>
            <wp:docPr id="17" name="image8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7734" cy="174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1623695</wp:posOffset>
            </wp:positionH>
            <wp:positionV relativeFrom="paragraph">
              <wp:posOffset>2125357</wp:posOffset>
            </wp:positionV>
            <wp:extent cx="5064888" cy="2564891"/>
            <wp:effectExtent l="0" t="0" r="0" b="0"/>
            <wp:wrapTopAndBottom/>
            <wp:docPr id="19" name="image9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9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4888" cy="25648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sz w:val="28"/>
        </w:rPr>
      </w:pPr>
    </w:p>
    <w:p>
      <w:pPr>
        <w:spacing w:after="0"/>
        <w:rPr>
          <w:sz w:val="28"/>
        </w:rPr>
        <w:sectPr>
          <w:pgSz w:w="12240" w:h="15840"/>
          <w:pgMar w:header="720" w:footer="800" w:top="1360" w:bottom="980" w:left="1320" w:right="1260"/>
        </w:sectPr>
      </w:pPr>
    </w:p>
    <w:p>
      <w:pPr>
        <w:spacing w:line="321" w:lineRule="exact" w:before="79"/>
        <w:ind w:left="120" w:right="0" w:firstLine="0"/>
        <w:jc w:val="left"/>
        <w:rPr>
          <w:b/>
          <w:sz w:val="28"/>
        </w:rPr>
      </w:pPr>
      <w:bookmarkStart w:name="Department of Housing and Community Deve" w:id="9"/>
      <w:bookmarkEnd w:id="9"/>
      <w:r>
        <w:rPr/>
      </w:r>
      <w:r>
        <w:rPr>
          <w:b/>
          <w:sz w:val="28"/>
        </w:rPr>
        <w:t>Department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of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Housing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and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Community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Development</w:t>
      </w:r>
    </w:p>
    <w:p>
      <w:pPr>
        <w:pStyle w:val="Heading2"/>
        <w:spacing w:line="321" w:lineRule="exact" w:before="0"/>
      </w:pPr>
      <w:r>
        <w:rPr/>
        <w:t>Neighborhood</w:t>
      </w:r>
      <w:r>
        <w:rPr>
          <w:spacing w:val="-12"/>
        </w:rPr>
        <w:t> </w:t>
      </w:r>
      <w:r>
        <w:rPr/>
        <w:t>Revitalization</w:t>
      </w:r>
    </w:p>
    <w:p>
      <w:pPr>
        <w:pStyle w:val="BodyText"/>
        <w:spacing w:before="10"/>
        <w:rPr>
          <w:i/>
          <w:sz w:val="27"/>
        </w:rPr>
      </w:pPr>
    </w:p>
    <w:p>
      <w:pPr>
        <w:pStyle w:val="Heading3"/>
      </w:pPr>
      <w:r>
        <w:rPr/>
        <w:t>COVID-19</w:t>
      </w:r>
      <w:r>
        <w:rPr>
          <w:spacing w:val="-6"/>
        </w:rPr>
        <w:t> </w:t>
      </w:r>
      <w:r>
        <w:rPr/>
        <w:t>Pandemic</w:t>
      </w:r>
      <w:r>
        <w:rPr>
          <w:spacing w:val="-5"/>
        </w:rPr>
        <w:t> </w:t>
      </w:r>
      <w:r>
        <w:rPr/>
        <w:t>Response</w:t>
      </w:r>
    </w:p>
    <w:p>
      <w:pPr>
        <w:pStyle w:val="BodyText"/>
        <w:ind w:left="120"/>
      </w:pPr>
      <w:r>
        <w:rPr/>
        <w:t>During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last</w:t>
      </w:r>
      <w:r>
        <w:rPr>
          <w:spacing w:val="-1"/>
        </w:rPr>
        <w:t> </w:t>
      </w:r>
      <w:r>
        <w:rPr/>
        <w:t>quarter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FY20,</w:t>
      </w:r>
      <w:r>
        <w:rPr>
          <w:spacing w:val="-1"/>
        </w:rPr>
        <w:t> </w:t>
      </w:r>
      <w:r>
        <w:rPr/>
        <w:t>the</w:t>
      </w:r>
      <w:r>
        <w:rPr>
          <w:spacing w:val="-1"/>
        </w:rPr>
        <w:t> </w:t>
      </w:r>
      <w:r>
        <w:rPr/>
        <w:t>division’s</w:t>
      </w:r>
      <w:r>
        <w:rPr>
          <w:spacing w:val="-1"/>
        </w:rPr>
        <w:t> </w:t>
      </w:r>
      <w:r>
        <w:rPr/>
        <w:t>primary</w:t>
      </w:r>
      <w:r>
        <w:rPr>
          <w:spacing w:val="-1"/>
        </w:rPr>
        <w:t> </w:t>
      </w:r>
      <w:r>
        <w:rPr/>
        <w:t>focus</w:t>
      </w:r>
      <w:r>
        <w:rPr>
          <w:spacing w:val="-1"/>
        </w:rPr>
        <w:t> </w:t>
      </w:r>
      <w:r>
        <w:rPr/>
        <w:t>was</w:t>
      </w:r>
      <w:r>
        <w:rPr>
          <w:spacing w:val="-1"/>
        </w:rPr>
        <w:t> </w:t>
      </w:r>
      <w:r>
        <w:rPr/>
        <w:t>directed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</w:t>
      </w:r>
      <w:r>
        <w:rPr/>
        <w:t>assisting</w:t>
      </w:r>
      <w:r>
        <w:rPr>
          <w:spacing w:val="-4"/>
        </w:rPr>
        <w:t> </w:t>
      </w:r>
      <w:r>
        <w:rPr/>
        <w:t>our</w:t>
      </w:r>
      <w:r>
        <w:rPr>
          <w:spacing w:val="-1"/>
        </w:rPr>
        <w:t> </w:t>
      </w:r>
      <w:r>
        <w:rPr/>
        <w:t>many</w:t>
      </w:r>
      <w:r>
        <w:rPr>
          <w:spacing w:val="-57"/>
        </w:rPr>
        <w:t> </w:t>
      </w:r>
      <w:r>
        <w:rPr/>
        <w:t>partners affected by COVID-19. In response to the pandemic, the Division of Neighborhood</w:t>
      </w:r>
      <w:r>
        <w:rPr>
          <w:spacing w:val="1"/>
        </w:rPr>
        <w:t> </w:t>
      </w:r>
      <w:r>
        <w:rPr/>
        <w:t>Revitalization: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495" w:hanging="360"/>
        <w:jc w:val="left"/>
        <w:rPr>
          <w:sz w:val="24"/>
        </w:rPr>
      </w:pPr>
      <w:r>
        <w:rPr>
          <w:sz w:val="24"/>
        </w:rPr>
        <w:t>Ensured</w:t>
      </w:r>
      <w:r>
        <w:rPr>
          <w:spacing w:val="-2"/>
          <w:sz w:val="24"/>
        </w:rPr>
        <w:t> </w:t>
      </w:r>
      <w:r>
        <w:rPr>
          <w:sz w:val="24"/>
        </w:rPr>
        <w:t>that</w:t>
      </w:r>
      <w:r>
        <w:rPr>
          <w:spacing w:val="-2"/>
          <w:sz w:val="24"/>
        </w:rPr>
        <w:t> </w:t>
      </w:r>
      <w:r>
        <w:rPr>
          <w:sz w:val="24"/>
        </w:rPr>
        <w:t>staff</w:t>
      </w:r>
      <w:r>
        <w:rPr>
          <w:spacing w:val="-2"/>
          <w:sz w:val="24"/>
        </w:rPr>
        <w:t> </w:t>
      </w:r>
      <w:r>
        <w:rPr>
          <w:sz w:val="24"/>
        </w:rPr>
        <w:t>were</w:t>
      </w:r>
      <w:r>
        <w:rPr>
          <w:spacing w:val="-1"/>
          <w:sz w:val="24"/>
        </w:rPr>
        <w:t> </w:t>
      </w:r>
      <w:r>
        <w:rPr>
          <w:sz w:val="24"/>
        </w:rPr>
        <w:t>equipped</w:t>
      </w:r>
      <w:r>
        <w:rPr>
          <w:spacing w:val="-1"/>
          <w:sz w:val="24"/>
        </w:rPr>
        <w:t> </w:t>
      </w:r>
      <w:r>
        <w:rPr>
          <w:sz w:val="24"/>
        </w:rPr>
        <w:t>with</w:t>
      </w:r>
      <w:r>
        <w:rPr>
          <w:spacing w:val="-1"/>
          <w:sz w:val="24"/>
        </w:rPr>
        <w:t> </w:t>
      </w:r>
      <w:r>
        <w:rPr>
          <w:sz w:val="24"/>
        </w:rPr>
        <w:t>the</w:t>
      </w:r>
      <w:r>
        <w:rPr>
          <w:spacing w:val="-1"/>
          <w:sz w:val="24"/>
        </w:rPr>
        <w:t> </w:t>
      </w:r>
      <w:r>
        <w:rPr>
          <w:sz w:val="24"/>
        </w:rPr>
        <w:t>necessary</w:t>
      </w:r>
      <w:r>
        <w:rPr>
          <w:spacing w:val="-1"/>
          <w:sz w:val="24"/>
        </w:rPr>
        <w:t> </w:t>
      </w:r>
      <w:r>
        <w:rPr>
          <w:sz w:val="24"/>
        </w:rPr>
        <w:t>equipment</w:t>
      </w:r>
      <w:r>
        <w:rPr>
          <w:spacing w:val="-1"/>
          <w:sz w:val="24"/>
        </w:rPr>
        <w:t> </w:t>
      </w:r>
      <w:r>
        <w:rPr>
          <w:sz w:val="24"/>
        </w:rPr>
        <w:t>to</w:t>
      </w:r>
      <w:r>
        <w:rPr>
          <w:spacing w:val="-1"/>
          <w:sz w:val="24"/>
        </w:rPr>
        <w:t> </w:t>
      </w:r>
      <w:r>
        <w:rPr>
          <w:sz w:val="24"/>
        </w:rPr>
        <w:t>telework</w:t>
      </w:r>
      <w:r>
        <w:rPr>
          <w:spacing w:val="-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able</w:t>
      </w:r>
      <w:r>
        <w:rPr>
          <w:spacing w:val="-2"/>
          <w:sz w:val="24"/>
        </w:rPr>
        <w:t> </w:t>
      </w:r>
      <w:r>
        <w:rPr>
          <w:sz w:val="24"/>
        </w:rPr>
        <w:t>to</w:t>
      </w:r>
      <w:r>
        <w:rPr>
          <w:spacing w:val="-57"/>
          <w:sz w:val="24"/>
        </w:rPr>
        <w:t> </w:t>
      </w:r>
      <w:r>
        <w:rPr>
          <w:sz w:val="24"/>
        </w:rPr>
        <w:t>provide our customers with uninterrupted, top-notch service. Additionally, supervisors</w:t>
      </w:r>
      <w:r>
        <w:rPr>
          <w:spacing w:val="-57"/>
          <w:sz w:val="24"/>
        </w:rPr>
        <w:t> </w:t>
      </w:r>
      <w:r>
        <w:rPr>
          <w:sz w:val="24"/>
        </w:rPr>
        <w:t>were in constant contact with staff to ensure that all were functioning well, both</w:t>
      </w:r>
      <w:r>
        <w:rPr>
          <w:spacing w:val="1"/>
          <w:sz w:val="24"/>
        </w:rPr>
        <w:t> </w:t>
      </w:r>
      <w:r>
        <w:rPr>
          <w:sz w:val="24"/>
        </w:rPr>
        <w:t>professionally</w:t>
      </w:r>
      <w:r>
        <w:rPr>
          <w:spacing w:val="-1"/>
          <w:sz w:val="24"/>
        </w:rPr>
        <w:t> </w:t>
      </w:r>
      <w:r>
        <w:rPr>
          <w:sz w:val="24"/>
        </w:rPr>
        <w:t>and personally.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33" w:hanging="360"/>
        <w:jc w:val="left"/>
        <w:rPr>
          <w:sz w:val="24"/>
        </w:rPr>
      </w:pPr>
      <w:r>
        <w:rPr>
          <w:sz w:val="24"/>
        </w:rPr>
        <w:t>Conducted stakeholder surveys of partnering organizations, including small businesses to</w:t>
      </w:r>
      <w:r>
        <w:rPr>
          <w:spacing w:val="-58"/>
          <w:sz w:val="24"/>
        </w:rPr>
        <w:t> </w:t>
      </w:r>
      <w:r>
        <w:rPr>
          <w:sz w:val="24"/>
        </w:rPr>
        <w:t>determine the impact of COVID-19, as well as find out what resources and assistance</w:t>
      </w:r>
      <w:r>
        <w:rPr>
          <w:spacing w:val="1"/>
          <w:sz w:val="24"/>
        </w:rPr>
        <w:t> </w:t>
      </w:r>
      <w:r>
        <w:rPr>
          <w:sz w:val="24"/>
        </w:rPr>
        <w:t>they</w:t>
      </w:r>
      <w:r>
        <w:rPr>
          <w:spacing w:val="-1"/>
          <w:sz w:val="24"/>
        </w:rPr>
        <w:t> </w:t>
      </w:r>
      <w:r>
        <w:rPr>
          <w:sz w:val="24"/>
        </w:rPr>
        <w:t>need most to sustain their operations.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39" w:right="206" w:hanging="360"/>
        <w:jc w:val="left"/>
        <w:rPr>
          <w:sz w:val="24"/>
        </w:rPr>
      </w:pPr>
      <w:r>
        <w:rPr>
          <w:sz w:val="24"/>
        </w:rPr>
        <w:t>For homeless and human services providers, established weekly and bi-weekly check-ins,</w:t>
      </w:r>
      <w:r>
        <w:rPr>
          <w:spacing w:val="-57"/>
          <w:sz w:val="24"/>
        </w:rPr>
        <w:t> </w:t>
      </w:r>
      <w:r>
        <w:rPr>
          <w:sz w:val="24"/>
        </w:rPr>
        <w:t>created a weekly newsletter, and developed a webpage that was specifically focused on</w:t>
      </w:r>
      <w:r>
        <w:rPr>
          <w:spacing w:val="1"/>
          <w:sz w:val="24"/>
        </w:rPr>
        <w:t> </w:t>
      </w:r>
      <w:r>
        <w:rPr>
          <w:sz w:val="24"/>
        </w:rPr>
        <w:t>COVID-19</w:t>
      </w:r>
      <w:r>
        <w:rPr>
          <w:spacing w:val="-1"/>
          <w:sz w:val="24"/>
        </w:rPr>
        <w:t> </w:t>
      </w:r>
      <w:r>
        <w:rPr>
          <w:sz w:val="24"/>
        </w:rPr>
        <w:t>related resources.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39" w:right="780" w:hanging="360"/>
        <w:jc w:val="left"/>
        <w:rPr>
          <w:sz w:val="24"/>
        </w:rPr>
      </w:pPr>
      <w:r>
        <w:rPr>
          <w:sz w:val="24"/>
        </w:rPr>
        <w:t>Coordinated</w:t>
      </w:r>
      <w:r>
        <w:rPr>
          <w:spacing w:val="-5"/>
          <w:sz w:val="24"/>
        </w:rPr>
        <w:t> </w:t>
      </w:r>
      <w:r>
        <w:rPr>
          <w:sz w:val="24"/>
        </w:rPr>
        <w:t>response</w:t>
      </w:r>
      <w:r>
        <w:rPr>
          <w:spacing w:val="-2"/>
          <w:sz w:val="24"/>
        </w:rPr>
        <w:t> </w:t>
      </w:r>
      <w:r>
        <w:rPr>
          <w:sz w:val="24"/>
        </w:rPr>
        <w:t>efforts</w:t>
      </w:r>
      <w:r>
        <w:rPr>
          <w:spacing w:val="-3"/>
          <w:sz w:val="24"/>
        </w:rPr>
        <w:t> </w:t>
      </w:r>
      <w:r>
        <w:rPr>
          <w:sz w:val="24"/>
        </w:rPr>
        <w:t>with</w:t>
      </w:r>
      <w:r>
        <w:rPr>
          <w:spacing w:val="-2"/>
          <w:sz w:val="24"/>
        </w:rPr>
        <w:t> </w:t>
      </w:r>
      <w:r>
        <w:rPr>
          <w:sz w:val="24"/>
        </w:rPr>
        <w:t>fellow</w:t>
      </w:r>
      <w:r>
        <w:rPr>
          <w:spacing w:val="-4"/>
          <w:sz w:val="24"/>
        </w:rPr>
        <w:t> </w:t>
      </w:r>
      <w:r>
        <w:rPr>
          <w:sz w:val="24"/>
        </w:rPr>
        <w:t>state</w:t>
      </w:r>
      <w:r>
        <w:rPr>
          <w:spacing w:val="-2"/>
          <w:sz w:val="24"/>
        </w:rPr>
        <w:t> </w:t>
      </w:r>
      <w:r>
        <w:rPr>
          <w:sz w:val="24"/>
        </w:rPr>
        <w:t>agencies</w:t>
      </w:r>
      <w:r>
        <w:rPr>
          <w:spacing w:val="-2"/>
          <w:sz w:val="24"/>
        </w:rPr>
        <w:t> </w:t>
      </w:r>
      <w:r>
        <w:rPr>
          <w:sz w:val="24"/>
        </w:rPr>
        <w:t>MDH/BHA,</w:t>
      </w:r>
      <w:r>
        <w:rPr>
          <w:spacing w:val="-2"/>
          <w:sz w:val="24"/>
        </w:rPr>
        <w:t> </w:t>
      </w:r>
      <w:r>
        <w:rPr>
          <w:sz w:val="24"/>
        </w:rPr>
        <w:t>DHS,</w:t>
      </w:r>
      <w:r>
        <w:rPr>
          <w:spacing w:val="-1"/>
          <w:sz w:val="24"/>
        </w:rPr>
        <w:t> </w:t>
      </w:r>
      <w:r>
        <w:rPr>
          <w:sz w:val="24"/>
        </w:rPr>
        <w:t>MEMA,</w:t>
      </w:r>
      <w:r>
        <w:rPr>
          <w:spacing w:val="-57"/>
          <w:sz w:val="24"/>
        </w:rPr>
        <w:t> </w:t>
      </w:r>
      <w:r>
        <w:rPr>
          <w:sz w:val="24"/>
        </w:rPr>
        <w:t>Commerce</w:t>
      </w:r>
      <w:r>
        <w:rPr>
          <w:spacing w:val="-1"/>
          <w:sz w:val="24"/>
        </w:rPr>
        <w:t> </w:t>
      </w:r>
      <w:r>
        <w:rPr>
          <w:sz w:val="24"/>
        </w:rPr>
        <w:t>and Labor.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39" w:right="305" w:hanging="360"/>
        <w:jc w:val="left"/>
        <w:rPr>
          <w:sz w:val="24"/>
        </w:rPr>
      </w:pPr>
      <w:r>
        <w:rPr>
          <w:sz w:val="24"/>
        </w:rPr>
        <w:t>Allowed grantees with funding left in their programs to repurpose those funds to address</w:t>
      </w:r>
      <w:r>
        <w:rPr>
          <w:spacing w:val="-57"/>
          <w:sz w:val="24"/>
        </w:rPr>
        <w:t> </w:t>
      </w:r>
      <w:r>
        <w:rPr>
          <w:sz w:val="24"/>
        </w:rPr>
        <w:t>the pandemic; some repurposed funds went directly to small businesses located on</w:t>
      </w:r>
      <w:r>
        <w:rPr>
          <w:spacing w:val="1"/>
          <w:sz w:val="24"/>
        </w:rPr>
        <w:t> </w:t>
      </w:r>
      <w:r>
        <w:rPr>
          <w:sz w:val="24"/>
        </w:rPr>
        <w:t>Maryland’s</w:t>
      </w:r>
      <w:r>
        <w:rPr>
          <w:spacing w:val="-3"/>
          <w:sz w:val="24"/>
        </w:rPr>
        <w:t> </w:t>
      </w:r>
      <w:r>
        <w:rPr>
          <w:sz w:val="24"/>
        </w:rPr>
        <w:t>historic Main</w:t>
      </w:r>
      <w:r>
        <w:rPr>
          <w:spacing w:val="-1"/>
          <w:sz w:val="24"/>
        </w:rPr>
        <w:t> </w:t>
      </w:r>
      <w:r>
        <w:rPr>
          <w:sz w:val="24"/>
        </w:rPr>
        <w:t>Streets.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39" w:right="194" w:hanging="360"/>
        <w:jc w:val="left"/>
        <w:rPr>
          <w:sz w:val="24"/>
        </w:rPr>
      </w:pPr>
      <w:r>
        <w:rPr>
          <w:sz w:val="24"/>
        </w:rPr>
        <w:t>Received more than $48 million in federal funds from the Community Development</w:t>
      </w:r>
      <w:r>
        <w:rPr>
          <w:spacing w:val="1"/>
          <w:sz w:val="24"/>
        </w:rPr>
        <w:t> </w:t>
      </w:r>
      <w:r>
        <w:rPr>
          <w:sz w:val="24"/>
        </w:rPr>
        <w:t>Block</w:t>
      </w:r>
      <w:r>
        <w:rPr>
          <w:spacing w:val="-2"/>
          <w:sz w:val="24"/>
        </w:rPr>
        <w:t> </w:t>
      </w:r>
      <w:r>
        <w:rPr>
          <w:sz w:val="24"/>
        </w:rPr>
        <w:t>Grant,</w:t>
      </w:r>
      <w:r>
        <w:rPr>
          <w:spacing w:val="-2"/>
          <w:sz w:val="24"/>
        </w:rPr>
        <w:t> </w:t>
      </w:r>
      <w:r>
        <w:rPr>
          <w:sz w:val="24"/>
        </w:rPr>
        <w:t>Community</w:t>
      </w:r>
      <w:r>
        <w:rPr>
          <w:spacing w:val="-2"/>
          <w:sz w:val="24"/>
        </w:rPr>
        <w:t> </w:t>
      </w:r>
      <w:r>
        <w:rPr>
          <w:sz w:val="24"/>
        </w:rPr>
        <w:t>Service</w:t>
      </w:r>
      <w:r>
        <w:rPr>
          <w:spacing w:val="-1"/>
          <w:sz w:val="24"/>
        </w:rPr>
        <w:t> </w:t>
      </w:r>
      <w:r>
        <w:rPr>
          <w:sz w:val="24"/>
        </w:rPr>
        <w:t>Block</w:t>
      </w:r>
      <w:r>
        <w:rPr>
          <w:spacing w:val="-2"/>
          <w:sz w:val="24"/>
        </w:rPr>
        <w:t> </w:t>
      </w:r>
      <w:r>
        <w:rPr>
          <w:sz w:val="24"/>
        </w:rPr>
        <w:t>Grant,</w:t>
      </w:r>
      <w:r>
        <w:rPr>
          <w:spacing w:val="-2"/>
          <w:sz w:val="24"/>
        </w:rPr>
        <w:t> </w:t>
      </w:r>
      <w:r>
        <w:rPr>
          <w:sz w:val="24"/>
        </w:rPr>
        <w:t>and</w:t>
      </w:r>
      <w:r>
        <w:rPr>
          <w:spacing w:val="-2"/>
          <w:sz w:val="24"/>
        </w:rPr>
        <w:t> </w:t>
      </w:r>
      <w:r>
        <w:rPr>
          <w:sz w:val="24"/>
        </w:rPr>
        <w:t>Emergency</w:t>
      </w:r>
      <w:r>
        <w:rPr>
          <w:spacing w:val="-1"/>
          <w:sz w:val="24"/>
        </w:rPr>
        <w:t> </w:t>
      </w:r>
      <w:r>
        <w:rPr>
          <w:sz w:val="24"/>
        </w:rPr>
        <w:t>Solutions</w:t>
      </w:r>
      <w:r>
        <w:rPr>
          <w:spacing w:val="-3"/>
          <w:sz w:val="24"/>
        </w:rPr>
        <w:t> </w:t>
      </w:r>
      <w:r>
        <w:rPr>
          <w:sz w:val="24"/>
        </w:rPr>
        <w:t>Grant</w:t>
      </w:r>
      <w:r>
        <w:rPr>
          <w:spacing w:val="-2"/>
          <w:sz w:val="24"/>
        </w:rPr>
        <w:t> </w:t>
      </w:r>
      <w:r>
        <w:rPr>
          <w:sz w:val="24"/>
        </w:rPr>
        <w:t>programs</w:t>
      </w:r>
      <w:r>
        <w:rPr>
          <w:spacing w:val="-57"/>
          <w:sz w:val="24"/>
        </w:rPr>
        <w:t> </w:t>
      </w:r>
      <w:r>
        <w:rPr>
          <w:sz w:val="24"/>
        </w:rPr>
        <w:t>under the CARES Act to assist local governments and non-profit organizations in</w:t>
      </w:r>
      <w:r>
        <w:rPr>
          <w:spacing w:val="1"/>
          <w:sz w:val="24"/>
        </w:rPr>
        <w:t> </w:t>
      </w:r>
      <w:r>
        <w:rPr>
          <w:sz w:val="24"/>
        </w:rPr>
        <w:t>responding to the pandemic over the next two years. Efforts included activities such as</w:t>
      </w:r>
      <w:r>
        <w:rPr>
          <w:spacing w:val="1"/>
          <w:sz w:val="24"/>
        </w:rPr>
        <w:t> </w:t>
      </w:r>
      <w:r>
        <w:rPr>
          <w:sz w:val="24"/>
        </w:rPr>
        <w:t>eviction prevention, providing rental assistance, purchasing of Personal Protective</w:t>
      </w:r>
      <w:r>
        <w:rPr>
          <w:spacing w:val="1"/>
          <w:sz w:val="24"/>
        </w:rPr>
        <w:t> </w:t>
      </w:r>
      <w:r>
        <w:rPr>
          <w:sz w:val="24"/>
        </w:rPr>
        <w:t>Equipment</w:t>
      </w:r>
      <w:r>
        <w:rPr>
          <w:spacing w:val="-1"/>
          <w:sz w:val="24"/>
        </w:rPr>
        <w:t> </w:t>
      </w:r>
      <w:r>
        <w:rPr>
          <w:sz w:val="24"/>
        </w:rPr>
        <w:t>(PPE), building sanitizing,</w:t>
      </w:r>
      <w:r>
        <w:rPr>
          <w:spacing w:val="-1"/>
          <w:sz w:val="24"/>
        </w:rPr>
        <w:t> </w:t>
      </w:r>
      <w:r>
        <w:rPr>
          <w:sz w:val="24"/>
        </w:rPr>
        <w:t>payroll assistance, etc.</w:t>
      </w:r>
    </w:p>
    <w:p>
      <w:pPr>
        <w:pStyle w:val="ListParagraph"/>
        <w:numPr>
          <w:ilvl w:val="0"/>
          <w:numId w:val="2"/>
        </w:numPr>
        <w:tabs>
          <w:tab w:pos="839" w:val="left" w:leader="none"/>
          <w:tab w:pos="840" w:val="left" w:leader="none"/>
        </w:tabs>
        <w:spacing w:line="240" w:lineRule="auto" w:before="0" w:after="0"/>
        <w:ind w:left="839" w:right="473" w:hanging="360"/>
        <w:jc w:val="left"/>
        <w:rPr>
          <w:sz w:val="24"/>
        </w:rPr>
      </w:pPr>
      <w:r>
        <w:rPr>
          <w:sz w:val="24"/>
        </w:rPr>
        <w:t>Received $29 million in CARES Act funding and, under guidance from the Governor,</w:t>
      </w:r>
      <w:r>
        <w:rPr>
          <w:spacing w:val="1"/>
          <w:sz w:val="24"/>
        </w:rPr>
        <w:t> </w:t>
      </w:r>
      <w:r>
        <w:rPr>
          <w:sz w:val="24"/>
        </w:rPr>
        <w:t>established the Maryland Nonprofit Recovery Initiative to assist hundreds of Maryland</w:t>
      </w:r>
      <w:r>
        <w:rPr>
          <w:spacing w:val="-57"/>
          <w:sz w:val="24"/>
        </w:rPr>
        <w:t> </w:t>
      </w:r>
      <w:r>
        <w:rPr>
          <w:sz w:val="24"/>
        </w:rPr>
        <w:t>nonprofits affected by the pandemic. Funding was distributed to help them stay afloat</w:t>
      </w:r>
      <w:r>
        <w:rPr>
          <w:spacing w:val="1"/>
          <w:sz w:val="24"/>
        </w:rPr>
        <w:t> </w:t>
      </w:r>
      <w:r>
        <w:rPr>
          <w:sz w:val="24"/>
        </w:rPr>
        <w:t>during these challenging times while also supporting their important work in the</w:t>
      </w:r>
      <w:r>
        <w:rPr>
          <w:spacing w:val="1"/>
          <w:sz w:val="24"/>
        </w:rPr>
        <w:t> </w:t>
      </w:r>
      <w:r>
        <w:rPr>
          <w:sz w:val="24"/>
        </w:rPr>
        <w:t>community.</w:t>
      </w:r>
    </w:p>
    <w:p>
      <w:pPr>
        <w:spacing w:after="0" w:line="240" w:lineRule="auto"/>
        <w:jc w:val="left"/>
        <w:rPr>
          <w:sz w:val="24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  <w:spacing w:line="321" w:lineRule="exact"/>
      </w:pPr>
      <w:bookmarkStart w:name="_TOC_250004" w:id="10"/>
      <w:bookmarkStart w:name="Maryland Department of Labor" w:id="11"/>
      <w:r>
        <w:rPr>
          <w:b w:val="0"/>
        </w:rPr>
      </w:r>
      <w:r>
        <w:rPr/>
        <w:t>Maryland</w:t>
      </w:r>
      <w:r>
        <w:rPr>
          <w:spacing w:val="-6"/>
        </w:rPr>
        <w:t> </w:t>
      </w:r>
      <w:r>
        <w:rPr/>
        <w:t>Department</w:t>
      </w:r>
      <w:r>
        <w:rPr>
          <w:spacing w:val="-3"/>
        </w:rPr>
        <w:t> </w:t>
      </w:r>
      <w:r>
        <w:rPr/>
        <w:t>of</w:t>
      </w:r>
      <w:r>
        <w:rPr>
          <w:spacing w:val="-4"/>
        </w:rPr>
        <w:t> </w:t>
      </w:r>
      <w:bookmarkEnd w:id="10"/>
      <w:r>
        <w:rPr/>
        <w:t>Labor</w:t>
      </w:r>
    </w:p>
    <w:p>
      <w:pPr>
        <w:pStyle w:val="Heading2"/>
        <w:spacing w:line="321" w:lineRule="exact" w:before="0"/>
      </w:pPr>
      <w:r>
        <w:rPr/>
        <w:t>Beacon</w:t>
      </w:r>
      <w:r>
        <w:rPr>
          <w:spacing w:val="-3"/>
        </w:rPr>
        <w:t> </w:t>
      </w:r>
      <w:r>
        <w:rPr/>
        <w:t>One-Stop</w:t>
      </w:r>
    </w:p>
    <w:p>
      <w:pPr>
        <w:pStyle w:val="BodyText"/>
        <w:spacing w:before="3"/>
        <w:rPr>
          <w:i/>
          <w:sz w:val="31"/>
        </w:rPr>
      </w:pPr>
    </w:p>
    <w:p>
      <w:pPr>
        <w:pStyle w:val="Heading3"/>
        <w:spacing w:before="1"/>
      </w:pPr>
      <w:r>
        <w:rPr/>
        <w:t>COVID-19</w:t>
      </w:r>
      <w:r>
        <w:rPr>
          <w:spacing w:val="-4"/>
        </w:rPr>
        <w:t> </w:t>
      </w:r>
      <w:r>
        <w:rPr/>
        <w:t>Pandemic</w:t>
      </w:r>
      <w:r>
        <w:rPr>
          <w:spacing w:val="-3"/>
        </w:rPr>
        <w:t> </w:t>
      </w:r>
      <w:r>
        <w:rPr/>
        <w:t>Response</w:t>
      </w:r>
    </w:p>
    <w:p>
      <w:pPr>
        <w:pStyle w:val="BodyText"/>
        <w:ind w:left="119" w:right="511"/>
      </w:pPr>
      <w:r>
        <w:rPr>
          <w:color w:val="212121"/>
        </w:rPr>
        <w:t>The Maryland Department of Labor (Labor) made agency services available online, including</w:t>
      </w:r>
      <w:r>
        <w:rPr>
          <w:color w:val="212121"/>
          <w:spacing w:val="-57"/>
        </w:rPr>
        <w:t> </w:t>
      </w:r>
      <w:r>
        <w:rPr>
          <w:color w:val="212121"/>
        </w:rPr>
        <w:t>the launch of BEACON One-Stop. Beginning on Friday, April 24, 2020, BEACON One-Stop</w:t>
      </w:r>
      <w:r>
        <w:rPr>
          <w:color w:val="212121"/>
          <w:spacing w:val="-57"/>
        </w:rPr>
        <w:t> </w:t>
      </w:r>
      <w:r>
        <w:rPr>
          <w:color w:val="212121"/>
        </w:rPr>
        <w:t>allowed claimants to file claims for ALL unemployment insurance (UI) benefit programs</w:t>
      </w:r>
      <w:r>
        <w:rPr>
          <w:color w:val="212121"/>
          <w:spacing w:val="1"/>
        </w:rPr>
        <w:t> </w:t>
      </w:r>
      <w:r>
        <w:rPr>
          <w:color w:val="212121"/>
        </w:rPr>
        <w:t>through a single application, including the most recent federally-enacted unemployment</w:t>
      </w:r>
      <w:r>
        <w:rPr>
          <w:color w:val="212121"/>
          <w:spacing w:val="1"/>
        </w:rPr>
        <w:t> </w:t>
      </w:r>
      <w:r>
        <w:rPr>
          <w:color w:val="212121"/>
        </w:rPr>
        <w:t>programs, Pandemic Unemployment Assistance (PUA), and Pandemic Emergency</w:t>
      </w:r>
      <w:r>
        <w:rPr>
          <w:color w:val="212121"/>
          <w:spacing w:val="1"/>
        </w:rPr>
        <w:t> </w:t>
      </w:r>
      <w:r>
        <w:rPr>
          <w:color w:val="212121"/>
        </w:rPr>
        <w:t>Unemployment Compensation (PEUC). BEACON One-Stop is an application that allows</w:t>
      </w:r>
      <w:r>
        <w:rPr>
          <w:color w:val="212121"/>
          <w:spacing w:val="1"/>
        </w:rPr>
        <w:t> </w:t>
      </w:r>
      <w:r>
        <w:rPr>
          <w:color w:val="212121"/>
        </w:rPr>
        <w:t>claimants to file claim certifications each week, upload supporting documentation and review</w:t>
      </w:r>
      <w:r>
        <w:rPr>
          <w:color w:val="212121"/>
          <w:spacing w:val="-57"/>
        </w:rPr>
        <w:t> </w:t>
      </w:r>
      <w:r>
        <w:rPr>
          <w:color w:val="212121"/>
        </w:rPr>
        <w:t>their benefit payment history. </w:t>
      </w:r>
      <w:r>
        <w:rPr/>
        <w:t>In addition, the department </w:t>
      </w:r>
      <w:r>
        <w:rPr>
          <w:color w:val="212121"/>
        </w:rPr>
        <w:t>added weekend hours, extended</w:t>
      </w:r>
      <w:r>
        <w:rPr>
          <w:color w:val="212121"/>
          <w:spacing w:val="1"/>
        </w:rPr>
        <w:t> </w:t>
      </w:r>
      <w:r>
        <w:rPr>
          <w:color w:val="212121"/>
        </w:rPr>
        <w:t>normal calling hours, and created user-friendly online videos to help people through the</w:t>
      </w:r>
      <w:r>
        <w:rPr>
          <w:color w:val="212121"/>
          <w:spacing w:val="1"/>
        </w:rPr>
        <w:t> </w:t>
      </w:r>
      <w:r>
        <w:rPr>
          <w:color w:val="212121"/>
        </w:rPr>
        <w:t>application</w:t>
      </w:r>
      <w:r>
        <w:rPr>
          <w:color w:val="212121"/>
          <w:spacing w:val="-2"/>
        </w:rPr>
        <w:t> </w:t>
      </w:r>
      <w:r>
        <w:rPr>
          <w:color w:val="212121"/>
        </w:rPr>
        <w:t>process.</w:t>
      </w:r>
    </w:p>
    <w:p>
      <w:pPr>
        <w:pStyle w:val="BodyText"/>
        <w:spacing w:before="1"/>
      </w:pPr>
    </w:p>
    <w:p>
      <w:pPr>
        <w:pStyle w:val="Heading3"/>
        <w:spacing w:line="240" w:lineRule="auto"/>
      </w:pPr>
      <w:r>
        <w:rPr/>
        <w:t>Detailed</w:t>
      </w:r>
      <w:r>
        <w:rPr>
          <w:spacing w:val="-3"/>
        </w:rPr>
        <w:t> </w:t>
      </w:r>
      <w:r>
        <w:rPr/>
        <w:t>FY20</w:t>
      </w:r>
      <w:r>
        <w:rPr>
          <w:spacing w:val="-2"/>
        </w:rPr>
        <w:t> </w:t>
      </w:r>
      <w:r>
        <w:rPr/>
        <w:t>Results</w:t>
      </w:r>
      <w:r>
        <w:rPr>
          <w:spacing w:val="-2"/>
        </w:rPr>
        <w:t> </w:t>
      </w:r>
      <w:r>
        <w:rPr/>
        <w:t>and</w:t>
      </w:r>
      <w:r>
        <w:rPr>
          <w:spacing w:val="-3"/>
        </w:rPr>
        <w:t> </w:t>
      </w:r>
      <w:r>
        <w:rPr/>
        <w:t>FY21</w:t>
      </w:r>
      <w:r>
        <w:rPr>
          <w:spacing w:val="-1"/>
        </w:rPr>
        <w:t> </w:t>
      </w:r>
      <w:r>
        <w:rPr/>
        <w:t>Plans</w:t>
      </w:r>
    </w:p>
    <w:p>
      <w:pPr>
        <w:pStyle w:val="BodyText"/>
        <w:spacing w:before="9"/>
        <w:rPr>
          <w:b/>
          <w:sz w:val="25"/>
        </w:rPr>
      </w:pPr>
      <w:r>
        <w:rPr/>
        <w:drawing>
          <wp:anchor distT="0" distB="0" distL="0" distR="0" allowOverlap="1" layoutInCell="1" locked="0" behindDoc="0" simplePos="0" relativeHeight="7">
            <wp:simplePos x="0" y="0"/>
            <wp:positionH relativeFrom="page">
              <wp:posOffset>1143000</wp:posOffset>
            </wp:positionH>
            <wp:positionV relativeFrom="paragraph">
              <wp:posOffset>213270</wp:posOffset>
            </wp:positionV>
            <wp:extent cx="5486399" cy="3200400"/>
            <wp:effectExtent l="0" t="0" r="0" b="0"/>
            <wp:wrapTopAndBottom/>
            <wp:docPr id="21" name="image10.pn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399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b/>
          <w:sz w:val="21"/>
        </w:rPr>
      </w:pPr>
    </w:p>
    <w:p>
      <w:pPr>
        <w:pStyle w:val="BodyText"/>
        <w:ind w:left="120"/>
      </w:pPr>
      <w:r>
        <w:rPr>
          <w:color w:val="333333"/>
        </w:rPr>
        <w:t>Of</w:t>
      </w:r>
      <w:r>
        <w:rPr>
          <w:color w:val="333333"/>
          <w:spacing w:val="-2"/>
        </w:rPr>
        <w:t> </w:t>
      </w:r>
      <w:r>
        <w:rPr>
          <w:color w:val="333333"/>
        </w:rPr>
        <w:t>the 624,978</w:t>
      </w:r>
      <w:r>
        <w:rPr>
          <w:color w:val="333333"/>
          <w:spacing w:val="-1"/>
        </w:rPr>
        <w:t> </w:t>
      </w:r>
      <w:r>
        <w:rPr>
          <w:color w:val="333333"/>
        </w:rPr>
        <w:t>complete claims</w:t>
      </w:r>
      <w:r>
        <w:rPr>
          <w:color w:val="333333"/>
          <w:spacing w:val="-1"/>
        </w:rPr>
        <w:t> </w:t>
      </w:r>
      <w:r>
        <w:rPr>
          <w:color w:val="333333"/>
        </w:rPr>
        <w:t>received from</w:t>
      </w:r>
      <w:r>
        <w:rPr>
          <w:color w:val="333333"/>
          <w:spacing w:val="-3"/>
        </w:rPr>
        <w:t> </w:t>
      </w:r>
      <w:r>
        <w:rPr>
          <w:color w:val="333333"/>
        </w:rPr>
        <w:t>March 9</w:t>
      </w:r>
      <w:r>
        <w:rPr>
          <w:color w:val="333333"/>
          <w:spacing w:val="-1"/>
        </w:rPr>
        <w:t> </w:t>
      </w:r>
      <w:r>
        <w:rPr>
          <w:color w:val="333333"/>
        </w:rPr>
        <w:t>to June</w:t>
      </w:r>
      <w:r>
        <w:rPr>
          <w:color w:val="333333"/>
          <w:spacing w:val="-1"/>
        </w:rPr>
        <w:t> </w:t>
      </w:r>
      <w:r>
        <w:rPr>
          <w:color w:val="333333"/>
        </w:rPr>
        <w:t>27 601,208</w:t>
      </w:r>
      <w:r>
        <w:rPr>
          <w:color w:val="333333"/>
          <w:spacing w:val="-1"/>
        </w:rPr>
        <w:t> </w:t>
      </w:r>
      <w:r>
        <w:rPr>
          <w:color w:val="333333"/>
        </w:rPr>
        <w:t>(96.2%)</w:t>
      </w:r>
      <w:r>
        <w:rPr>
          <w:color w:val="333333"/>
          <w:spacing w:val="-1"/>
        </w:rPr>
        <w:t> </w:t>
      </w:r>
      <w:r>
        <w:rPr>
          <w:color w:val="333333"/>
        </w:rPr>
        <w:t>have</w:t>
      </w:r>
      <w:r>
        <w:rPr>
          <w:color w:val="333333"/>
          <w:spacing w:val="-1"/>
        </w:rPr>
        <w:t> </w:t>
      </w:r>
      <w:r>
        <w:rPr>
          <w:color w:val="333333"/>
        </w:rPr>
        <w:t>been</w:t>
      </w:r>
    </w:p>
    <w:p>
      <w:pPr>
        <w:pStyle w:val="BodyText"/>
        <w:ind w:left="120" w:right="962"/>
      </w:pPr>
      <w:r>
        <w:rPr>
          <w:color w:val="333333"/>
        </w:rPr>
        <w:t>processed with 492,789 (78.8%) receiving benefit payments and 108,419 (17.3%) denied</w:t>
      </w:r>
      <w:r>
        <w:rPr>
          <w:color w:val="333333"/>
          <w:spacing w:val="-57"/>
        </w:rPr>
        <w:t> </w:t>
      </w:r>
      <w:r>
        <w:rPr>
          <w:color w:val="333333"/>
        </w:rPr>
        <w:t>benefits</w:t>
      </w:r>
      <w:r>
        <w:rPr>
          <w:color w:val="333333"/>
          <w:spacing w:val="-1"/>
        </w:rPr>
        <w:t> </w:t>
      </w:r>
      <w:r>
        <w:rPr>
          <w:color w:val="333333"/>
        </w:rPr>
        <w:t>for</w:t>
      </w:r>
      <w:r>
        <w:rPr>
          <w:color w:val="333333"/>
          <w:spacing w:val="-1"/>
        </w:rPr>
        <w:t> </w:t>
      </w:r>
      <w:r>
        <w:rPr>
          <w:color w:val="333333"/>
        </w:rPr>
        <w:t>not meeting state</w:t>
      </w:r>
      <w:r>
        <w:rPr>
          <w:color w:val="333333"/>
          <w:spacing w:val="-1"/>
        </w:rPr>
        <w:t> </w:t>
      </w:r>
      <w:r>
        <w:rPr>
          <w:color w:val="333333"/>
        </w:rPr>
        <w:t>and federal program</w:t>
      </w:r>
      <w:r>
        <w:rPr>
          <w:color w:val="333333"/>
          <w:spacing w:val="-1"/>
        </w:rPr>
        <w:t> </w:t>
      </w:r>
      <w:r>
        <w:rPr>
          <w:color w:val="333333"/>
        </w:rPr>
        <w:t>requirements.</w:t>
      </w:r>
    </w:p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Heading3"/>
        <w:spacing w:line="240" w:lineRule="auto" w:before="81"/>
      </w:pPr>
      <w:bookmarkStart w:name="Maryland Department of Commerce" w:id="12"/>
      <w:bookmarkEnd w:id="12"/>
      <w:r>
        <w:rPr>
          <w:b w:val="0"/>
        </w:rPr>
      </w:r>
      <w:r>
        <w:rPr>
          <w:color w:val="333333"/>
        </w:rPr>
        <w:t>Maryland</w:t>
      </w:r>
      <w:r>
        <w:rPr>
          <w:color w:val="333333"/>
          <w:spacing w:val="-3"/>
        </w:rPr>
        <w:t> </w:t>
      </w:r>
      <w:r>
        <w:rPr>
          <w:color w:val="333333"/>
        </w:rPr>
        <w:t>Department</w:t>
      </w:r>
      <w:r>
        <w:rPr>
          <w:color w:val="333333"/>
          <w:spacing w:val="-2"/>
        </w:rPr>
        <w:t> </w:t>
      </w:r>
      <w:r>
        <w:rPr>
          <w:color w:val="333333"/>
        </w:rPr>
        <w:t>of</w:t>
      </w:r>
      <w:r>
        <w:rPr>
          <w:color w:val="333333"/>
          <w:spacing w:val="-1"/>
        </w:rPr>
        <w:t> </w:t>
      </w:r>
      <w:r>
        <w:rPr>
          <w:color w:val="333333"/>
        </w:rPr>
        <w:t>Labor</w:t>
      </w:r>
      <w:r>
        <w:rPr>
          <w:color w:val="333333"/>
          <w:spacing w:val="-2"/>
        </w:rPr>
        <w:t> </w:t>
      </w:r>
      <w:r>
        <w:rPr>
          <w:color w:val="333333"/>
        </w:rPr>
        <w:t>Released</w:t>
      </w:r>
      <w:r>
        <w:rPr>
          <w:color w:val="333333"/>
          <w:spacing w:val="-2"/>
        </w:rPr>
        <w:t> </w:t>
      </w:r>
      <w:r>
        <w:rPr>
          <w:color w:val="333333"/>
        </w:rPr>
        <w:t>Over</w:t>
      </w:r>
      <w:r>
        <w:rPr>
          <w:color w:val="333333"/>
          <w:spacing w:val="-2"/>
        </w:rPr>
        <w:t> </w:t>
      </w:r>
      <w:r>
        <w:rPr>
          <w:color w:val="333333"/>
        </w:rPr>
        <w:t>$3.6</w:t>
      </w:r>
      <w:r>
        <w:rPr>
          <w:color w:val="333333"/>
          <w:spacing w:val="-1"/>
        </w:rPr>
        <w:t> </w:t>
      </w:r>
      <w:r>
        <w:rPr>
          <w:color w:val="333333"/>
        </w:rPr>
        <w:t>Billion</w:t>
      </w:r>
      <w:r>
        <w:rPr>
          <w:color w:val="333333"/>
          <w:spacing w:val="-3"/>
        </w:rPr>
        <w:t> </w:t>
      </w:r>
      <w:r>
        <w:rPr>
          <w:color w:val="333333"/>
        </w:rPr>
        <w:t>in</w:t>
      </w:r>
      <w:r>
        <w:rPr>
          <w:color w:val="333333"/>
          <w:spacing w:val="-2"/>
        </w:rPr>
        <w:t> </w:t>
      </w:r>
      <w:r>
        <w:rPr>
          <w:color w:val="333333"/>
        </w:rPr>
        <w:t>Benefits</w:t>
      </w:r>
    </w:p>
    <w:p>
      <w:pPr>
        <w:pStyle w:val="BodyText"/>
        <w:spacing w:before="3"/>
        <w:rPr>
          <w:b/>
          <w:sz w:val="12"/>
        </w:rPr>
      </w:pP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914400</wp:posOffset>
            </wp:positionH>
            <wp:positionV relativeFrom="paragraph">
              <wp:posOffset>114878</wp:posOffset>
            </wp:positionV>
            <wp:extent cx="5487045" cy="3200400"/>
            <wp:effectExtent l="0" t="0" r="0" b="0"/>
            <wp:wrapTopAndBottom/>
            <wp:docPr id="23" name="image11.pn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7045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50"/>
        <w:ind w:left="120" w:right="162"/>
      </w:pPr>
      <w:r>
        <w:rPr/>
        <w:t>From March 9 to June 27, the Maryland Department of Labor’s Division of Unemployment</w:t>
      </w:r>
      <w:r>
        <w:rPr>
          <w:spacing w:val="1"/>
        </w:rPr>
        <w:t> </w:t>
      </w:r>
      <w:r>
        <w:rPr/>
        <w:t>Insurance paid a total of $3,642,243,364 in all forms of insurance benefits to claimants, including</w:t>
      </w:r>
      <w:r>
        <w:rPr>
          <w:spacing w:val="-57"/>
        </w:rPr>
        <w:t> </w:t>
      </w:r>
      <w:r>
        <w:rPr/>
        <w:t>CARES Act unemployment insurance benefits. This total amount includes $2,126,846,214 in</w:t>
      </w:r>
      <w:r>
        <w:rPr>
          <w:spacing w:val="1"/>
        </w:rPr>
        <w:t> </w:t>
      </w:r>
      <w:r>
        <w:rPr/>
        <w:t>issued benefits, $1,468,112,926 in PUA benefits, and $47,284,224 in Pandemic Emergency</w:t>
      </w:r>
      <w:r>
        <w:rPr>
          <w:spacing w:val="1"/>
        </w:rPr>
        <w:t> </w:t>
      </w:r>
      <w:r>
        <w:rPr/>
        <w:t>Unemployment</w:t>
      </w:r>
      <w:r>
        <w:rPr>
          <w:spacing w:val="-1"/>
        </w:rPr>
        <w:t> </w:t>
      </w:r>
      <w:r>
        <w:rPr/>
        <w:t>Compensation</w:t>
      </w:r>
      <w:r>
        <w:rPr>
          <w:spacing w:val="-2"/>
        </w:rPr>
        <w:t> </w:t>
      </w:r>
      <w:r>
        <w:rPr/>
        <w:t>(PEUC) benefits.</w:t>
      </w:r>
    </w:p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  <w:spacing w:before="81"/>
      </w:pPr>
      <w:bookmarkStart w:name="_TOC_250003" w:id="13"/>
      <w:r>
        <w:rPr/>
        <w:t>Maryland</w:t>
      </w:r>
      <w:r>
        <w:rPr>
          <w:spacing w:val="-6"/>
        </w:rPr>
        <w:t> </w:t>
      </w:r>
      <w:r>
        <w:rPr/>
        <w:t>Department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bookmarkEnd w:id="13"/>
      <w:r>
        <w:rPr/>
        <w:t>Commerce</w:t>
      </w:r>
    </w:p>
    <w:p>
      <w:pPr>
        <w:pStyle w:val="Heading2"/>
      </w:pPr>
      <w:r>
        <w:rPr/>
        <w:t>COVID-19</w:t>
      </w:r>
      <w:r>
        <w:rPr>
          <w:spacing w:val="-4"/>
        </w:rPr>
        <w:t> </w:t>
      </w:r>
      <w:r>
        <w:rPr/>
        <w:t>Emergency</w:t>
      </w:r>
      <w:r>
        <w:rPr>
          <w:spacing w:val="-3"/>
        </w:rPr>
        <w:t> </w:t>
      </w:r>
      <w:r>
        <w:rPr/>
        <w:t>Relief</w:t>
      </w:r>
      <w:r>
        <w:rPr>
          <w:spacing w:val="-4"/>
        </w:rPr>
        <w:t> </w:t>
      </w:r>
      <w:r>
        <w:rPr/>
        <w:t>Fund</w:t>
      </w:r>
    </w:p>
    <w:p>
      <w:pPr>
        <w:pStyle w:val="Heading3"/>
        <w:spacing w:line="240" w:lineRule="auto" w:before="185"/>
      </w:pPr>
      <w:r>
        <w:rPr/>
        <w:t>COVID-19</w:t>
      </w:r>
      <w:r>
        <w:rPr>
          <w:spacing w:val="-3"/>
        </w:rPr>
        <w:t> </w:t>
      </w:r>
      <w:r>
        <w:rPr/>
        <w:t>Pandemic</w:t>
      </w:r>
      <w:r>
        <w:rPr>
          <w:spacing w:val="-4"/>
        </w:rPr>
        <w:t> </w:t>
      </w:r>
      <w:r>
        <w:rPr/>
        <w:t>Response</w:t>
      </w:r>
    </w:p>
    <w:p>
      <w:pPr>
        <w:pStyle w:val="BodyText"/>
        <w:spacing w:before="40"/>
        <w:ind w:left="120" w:right="422"/>
      </w:pPr>
      <w:r>
        <w:rPr/>
        <w:t>The Department’s priority during the pandemic was to ensure that businesses had the guidance</w:t>
      </w:r>
      <w:r>
        <w:rPr>
          <w:spacing w:val="-58"/>
        </w:rPr>
        <w:t> </w:t>
      </w:r>
      <w:r>
        <w:rPr/>
        <w:t>and</w:t>
      </w:r>
      <w:r>
        <w:rPr>
          <w:spacing w:val="-1"/>
        </w:rPr>
        <w:t> </w:t>
      </w:r>
      <w:r>
        <w:rPr/>
        <w:t>information they needed to reopen and</w:t>
      </w:r>
      <w:r>
        <w:rPr>
          <w:spacing w:val="-1"/>
        </w:rPr>
        <w:t> </w:t>
      </w:r>
      <w:r>
        <w:rPr/>
        <w:t>operate safely.</w:t>
      </w:r>
    </w:p>
    <w:p>
      <w:pPr>
        <w:pStyle w:val="BodyText"/>
        <w:spacing w:before="2"/>
      </w:pPr>
    </w:p>
    <w:p>
      <w:pPr>
        <w:pStyle w:val="Heading3"/>
      </w:pPr>
      <w:r>
        <w:rPr/>
        <w:t>Media</w:t>
      </w:r>
      <w:r>
        <w:rPr>
          <w:spacing w:val="-1"/>
        </w:rPr>
        <w:t> </w:t>
      </w:r>
      <w:r>
        <w:rPr/>
        <w:t>&amp;</w:t>
      </w:r>
      <w:r>
        <w:rPr>
          <w:spacing w:val="-2"/>
        </w:rPr>
        <w:t> </w:t>
      </w:r>
      <w:r>
        <w:rPr/>
        <w:t>Outreach</w:t>
      </w:r>
    </w:p>
    <w:p>
      <w:pPr>
        <w:pStyle w:val="BodyText"/>
        <w:ind w:left="119" w:right="450"/>
      </w:pPr>
      <w:r>
        <w:rPr/>
        <w:t>Between March and the end of June 2020, Secretary Schulz and the senior leadership team</w:t>
      </w:r>
      <w:r>
        <w:rPr>
          <w:spacing w:val="1"/>
        </w:rPr>
        <w:t> </w:t>
      </w:r>
      <w:r>
        <w:rPr/>
        <w:t>participated in 86 webinars, interviews, and town halls to communicate the Governor’s plan to</w:t>
      </w:r>
      <w:r>
        <w:rPr>
          <w:spacing w:val="-57"/>
        </w:rPr>
        <w:t> </w:t>
      </w:r>
      <w:r>
        <w:rPr/>
        <w:t>reopen</w:t>
      </w:r>
      <w:r>
        <w:rPr>
          <w:spacing w:val="-1"/>
        </w:rPr>
        <w:t> </w:t>
      </w:r>
      <w:r>
        <w:rPr/>
        <w:t>the economy safely to the business community.</w:t>
      </w:r>
    </w:p>
    <w:p>
      <w:pPr>
        <w:pStyle w:val="BodyText"/>
        <w:spacing w:before="1"/>
      </w:pPr>
    </w:p>
    <w:p>
      <w:pPr>
        <w:pStyle w:val="Heading3"/>
      </w:pPr>
      <w:r>
        <w:rPr/>
        <w:t>Maryland</w:t>
      </w:r>
      <w:r>
        <w:rPr>
          <w:spacing w:val="-3"/>
        </w:rPr>
        <w:t> </w:t>
      </w:r>
      <w:r>
        <w:rPr/>
        <w:t>COVID-19</w:t>
      </w:r>
      <w:r>
        <w:rPr>
          <w:spacing w:val="-2"/>
        </w:rPr>
        <w:t> </w:t>
      </w:r>
      <w:r>
        <w:rPr/>
        <w:t>Emergency</w:t>
      </w:r>
      <w:r>
        <w:rPr>
          <w:spacing w:val="-4"/>
        </w:rPr>
        <w:t> </w:t>
      </w:r>
      <w:r>
        <w:rPr/>
        <w:t>Relief</w:t>
      </w:r>
      <w:r>
        <w:rPr>
          <w:spacing w:val="-2"/>
        </w:rPr>
        <w:t> </w:t>
      </w:r>
      <w:r>
        <w:rPr/>
        <w:t>Fund</w:t>
      </w:r>
      <w:r>
        <w:rPr>
          <w:spacing w:val="-3"/>
        </w:rPr>
        <w:t> </w:t>
      </w:r>
      <w:r>
        <w:rPr/>
        <w:t>Programs</w:t>
      </w:r>
      <w:r>
        <w:rPr>
          <w:spacing w:val="-2"/>
        </w:rPr>
        <w:t> </w:t>
      </w:r>
      <w:r>
        <w:rPr/>
        <w:t>for</w:t>
      </w:r>
      <w:r>
        <w:rPr>
          <w:spacing w:val="-2"/>
        </w:rPr>
        <w:t> </w:t>
      </w:r>
      <w:r>
        <w:rPr/>
        <w:t>Businesses</w:t>
      </w:r>
    </w:p>
    <w:p>
      <w:pPr>
        <w:pStyle w:val="BodyText"/>
        <w:ind w:left="120" w:right="240"/>
      </w:pPr>
      <w:r>
        <w:rPr/>
        <w:t>Thus far, the Department has set up three grant and loan programs to assist businesses during the</w:t>
      </w:r>
      <w:r>
        <w:rPr>
          <w:spacing w:val="-58"/>
        </w:rPr>
        <w:t> </w:t>
      </w:r>
      <w:r>
        <w:rPr/>
        <w:t>COVID-19 crisis, including:</w:t>
      </w: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39" w:right="605" w:hanging="360"/>
        <w:jc w:val="left"/>
        <w:rPr>
          <w:sz w:val="24"/>
        </w:rPr>
      </w:pPr>
      <w:r>
        <w:rPr>
          <w:i/>
          <w:sz w:val="24"/>
        </w:rPr>
        <w:t>$75 Million Relief Loan Fund </w:t>
      </w:r>
      <w:r>
        <w:rPr>
          <w:sz w:val="24"/>
        </w:rPr>
        <w:t>– for for-profit businesses with 50 or fewer employees.</w:t>
      </w:r>
      <w:r>
        <w:rPr>
          <w:spacing w:val="-57"/>
          <w:sz w:val="24"/>
        </w:rPr>
        <w:t> </w:t>
      </w:r>
      <w:r>
        <w:rPr>
          <w:sz w:val="24"/>
        </w:rPr>
        <w:t>This COVID-19 Emergency Relief $75M Loan Fund offers working capital to assist</w:t>
      </w:r>
      <w:r>
        <w:rPr>
          <w:spacing w:val="1"/>
          <w:sz w:val="24"/>
        </w:rPr>
        <w:t> </w:t>
      </w:r>
      <w:r>
        <w:rPr>
          <w:sz w:val="24"/>
        </w:rPr>
        <w:t>Maryland for-profit small businesses disrupted operations due to COVID-19. Loan</w:t>
      </w:r>
      <w:r>
        <w:rPr>
          <w:spacing w:val="1"/>
          <w:sz w:val="24"/>
        </w:rPr>
        <w:t> </w:t>
      </w:r>
      <w:r>
        <w:rPr>
          <w:sz w:val="24"/>
        </w:rPr>
        <w:t>assistance is intended to provide interim relief complementing actions with its bank,</w:t>
      </w:r>
      <w:r>
        <w:rPr>
          <w:spacing w:val="1"/>
          <w:sz w:val="24"/>
        </w:rPr>
        <w:t> </w:t>
      </w:r>
      <w:r>
        <w:rPr>
          <w:sz w:val="24"/>
        </w:rPr>
        <w:t>business</w:t>
      </w:r>
      <w:r>
        <w:rPr>
          <w:spacing w:val="-2"/>
          <w:sz w:val="24"/>
        </w:rPr>
        <w:t> </w:t>
      </w:r>
      <w:r>
        <w:rPr>
          <w:sz w:val="24"/>
        </w:rPr>
        <w:t>interruption insurance, and</w:t>
      </w:r>
      <w:r>
        <w:rPr>
          <w:spacing w:val="-2"/>
          <w:sz w:val="24"/>
        </w:rPr>
        <w:t> </w:t>
      </w:r>
      <w:r>
        <w:rPr>
          <w:sz w:val="24"/>
        </w:rPr>
        <w:t>financial partners.</w:t>
      </w: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26" w:hanging="360"/>
        <w:jc w:val="left"/>
        <w:rPr>
          <w:sz w:val="24"/>
        </w:rPr>
      </w:pPr>
      <w:r>
        <w:rPr>
          <w:i/>
          <w:sz w:val="24"/>
        </w:rPr>
        <w:t>$50 Million Relief Grant Fund </w:t>
      </w:r>
      <w:r>
        <w:rPr>
          <w:sz w:val="24"/>
        </w:rPr>
        <w:t>– for business and nonprofits with 50 or fewer employees.</w:t>
      </w:r>
      <w:r>
        <w:rPr>
          <w:spacing w:val="-58"/>
          <w:sz w:val="24"/>
        </w:rPr>
        <w:t> </w:t>
      </w:r>
      <w:r>
        <w:rPr>
          <w:sz w:val="24"/>
        </w:rPr>
        <w:t>This COVID-19 Emergency Relief Grant Fund offers working capital to assist Maryland</w:t>
      </w:r>
      <w:r>
        <w:rPr>
          <w:spacing w:val="1"/>
          <w:sz w:val="24"/>
        </w:rPr>
        <w:t> </w:t>
      </w:r>
      <w:r>
        <w:rPr>
          <w:sz w:val="24"/>
        </w:rPr>
        <w:t>small businesses and nonprofits with disrupted operations due to COVID-19. Grant</w:t>
      </w:r>
      <w:r>
        <w:rPr>
          <w:spacing w:val="1"/>
          <w:sz w:val="24"/>
        </w:rPr>
        <w:t> </w:t>
      </w:r>
      <w:r>
        <w:rPr>
          <w:sz w:val="24"/>
        </w:rPr>
        <w:t>assistance is intended to provide interim relief complementing actions with its bank,</w:t>
      </w:r>
      <w:r>
        <w:rPr>
          <w:spacing w:val="1"/>
          <w:sz w:val="24"/>
        </w:rPr>
        <w:t> </w:t>
      </w:r>
      <w:r>
        <w:rPr>
          <w:sz w:val="24"/>
        </w:rPr>
        <w:t>business</w:t>
      </w:r>
      <w:r>
        <w:rPr>
          <w:spacing w:val="-2"/>
          <w:sz w:val="24"/>
        </w:rPr>
        <w:t> </w:t>
      </w:r>
      <w:r>
        <w:rPr>
          <w:sz w:val="24"/>
        </w:rPr>
        <w:t>interruption insurance, and</w:t>
      </w:r>
      <w:r>
        <w:rPr>
          <w:spacing w:val="-2"/>
          <w:sz w:val="24"/>
        </w:rPr>
        <w:t> </w:t>
      </w:r>
      <w:r>
        <w:rPr>
          <w:sz w:val="24"/>
        </w:rPr>
        <w:t>financial partners.</w:t>
      </w: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69" w:hanging="360"/>
        <w:jc w:val="left"/>
        <w:rPr>
          <w:sz w:val="24"/>
        </w:rPr>
      </w:pPr>
      <w:r>
        <w:rPr>
          <w:i/>
          <w:sz w:val="24"/>
        </w:rPr>
        <w:t>$5 Million PPE Manufacturers Grant Fund </w:t>
      </w:r>
      <w:r>
        <w:rPr>
          <w:sz w:val="24"/>
        </w:rPr>
        <w:t>- for assisting Maryland manufacturers to</w:t>
      </w:r>
      <w:r>
        <w:rPr>
          <w:spacing w:val="1"/>
          <w:sz w:val="24"/>
        </w:rPr>
        <w:t> </w:t>
      </w:r>
      <w:r>
        <w:rPr>
          <w:sz w:val="24"/>
        </w:rPr>
        <w:t>produce</w:t>
      </w:r>
      <w:r>
        <w:rPr>
          <w:spacing w:val="-2"/>
          <w:sz w:val="24"/>
        </w:rPr>
        <w:t> </w:t>
      </w:r>
      <w:r>
        <w:rPr>
          <w:sz w:val="24"/>
        </w:rPr>
        <w:t>personal</w:t>
      </w:r>
      <w:r>
        <w:rPr>
          <w:spacing w:val="-2"/>
          <w:sz w:val="24"/>
        </w:rPr>
        <w:t> </w:t>
      </w:r>
      <w:r>
        <w:rPr>
          <w:sz w:val="24"/>
        </w:rPr>
        <w:t>protective</w:t>
      </w:r>
      <w:r>
        <w:rPr>
          <w:spacing w:val="-2"/>
          <w:sz w:val="24"/>
        </w:rPr>
        <w:t> </w:t>
      </w:r>
      <w:r>
        <w:rPr>
          <w:sz w:val="24"/>
        </w:rPr>
        <w:t>equipment</w:t>
      </w:r>
      <w:r>
        <w:rPr>
          <w:spacing w:val="-2"/>
          <w:sz w:val="24"/>
        </w:rPr>
        <w:t> </w:t>
      </w:r>
      <w:r>
        <w:rPr>
          <w:sz w:val="24"/>
        </w:rPr>
        <w:t>and</w:t>
      </w:r>
      <w:r>
        <w:rPr>
          <w:spacing w:val="-2"/>
          <w:sz w:val="24"/>
        </w:rPr>
        <w:t> </w:t>
      </w:r>
      <w:r>
        <w:rPr>
          <w:sz w:val="24"/>
        </w:rPr>
        <w:t>other</w:t>
      </w:r>
      <w:r>
        <w:rPr>
          <w:spacing w:val="-2"/>
          <w:sz w:val="24"/>
        </w:rPr>
        <w:t> </w:t>
      </w:r>
      <w:r>
        <w:rPr>
          <w:sz w:val="24"/>
        </w:rPr>
        <w:t>items</w:t>
      </w:r>
      <w:r>
        <w:rPr>
          <w:spacing w:val="-2"/>
          <w:sz w:val="24"/>
        </w:rPr>
        <w:t> </w:t>
      </w:r>
      <w:r>
        <w:rPr>
          <w:sz w:val="24"/>
        </w:rPr>
        <w:t>identified</w:t>
      </w:r>
      <w:r>
        <w:rPr>
          <w:spacing w:val="-2"/>
          <w:sz w:val="24"/>
        </w:rPr>
        <w:t> </w:t>
      </w:r>
      <w:r>
        <w:rPr>
          <w:sz w:val="24"/>
        </w:rPr>
        <w:t>as</w:t>
      </w:r>
      <w:r>
        <w:rPr>
          <w:spacing w:val="-2"/>
          <w:sz w:val="24"/>
        </w:rPr>
        <w:t> </w:t>
      </w:r>
      <w:hyperlink r:id="rId20">
        <w:r>
          <w:rPr>
            <w:sz w:val="24"/>
          </w:rPr>
          <w:t>Critical</w:t>
        </w:r>
        <w:r>
          <w:rPr>
            <w:spacing w:val="-2"/>
            <w:sz w:val="24"/>
          </w:rPr>
          <w:t> </w:t>
        </w:r>
        <w:r>
          <w:rPr>
            <w:sz w:val="24"/>
          </w:rPr>
          <w:t>Needs</w:t>
        </w:r>
        <w:r>
          <w:rPr>
            <w:spacing w:val="-4"/>
            <w:sz w:val="24"/>
          </w:rPr>
          <w:t> </w:t>
        </w:r>
        <w:r>
          <w:rPr>
            <w:sz w:val="24"/>
          </w:rPr>
          <w:t>Items</w:t>
        </w:r>
      </w:hyperlink>
      <w:r>
        <w:rPr>
          <w:spacing w:val="-57"/>
          <w:sz w:val="24"/>
        </w:rPr>
        <w:t> </w:t>
      </w:r>
      <w:r>
        <w:rPr>
          <w:sz w:val="24"/>
        </w:rPr>
        <w:t>by the Maryland Emergency Management Agency (MEMA) and the Department of</w:t>
      </w:r>
      <w:r>
        <w:rPr>
          <w:spacing w:val="1"/>
          <w:sz w:val="24"/>
        </w:rPr>
        <w:t> </w:t>
      </w:r>
      <w:r>
        <w:rPr>
          <w:sz w:val="24"/>
        </w:rPr>
        <w:t>General Services (DGS), that are urgently needed by the State of Maryland, Maryland-</w:t>
      </w:r>
      <w:r>
        <w:rPr>
          <w:spacing w:val="1"/>
          <w:sz w:val="24"/>
        </w:rPr>
        <w:t> </w:t>
      </w:r>
      <w:r>
        <w:rPr>
          <w:sz w:val="24"/>
        </w:rPr>
        <w:t>based</w:t>
      </w:r>
      <w:r>
        <w:rPr>
          <w:spacing w:val="-1"/>
          <w:sz w:val="24"/>
        </w:rPr>
        <w:t> </w:t>
      </w:r>
      <w:r>
        <w:rPr>
          <w:sz w:val="24"/>
        </w:rPr>
        <w:t>hospitals</w:t>
      </w:r>
      <w:r>
        <w:rPr>
          <w:spacing w:val="-1"/>
          <w:sz w:val="24"/>
        </w:rPr>
        <w:t> </w:t>
      </w:r>
      <w:r>
        <w:rPr>
          <w:sz w:val="24"/>
        </w:rPr>
        <w:t>and healthcare</w:t>
      </w:r>
      <w:r>
        <w:rPr>
          <w:spacing w:val="-1"/>
          <w:sz w:val="24"/>
        </w:rPr>
        <w:t> </w:t>
      </w:r>
      <w:r>
        <w:rPr>
          <w:sz w:val="24"/>
        </w:rPr>
        <w:t>facilities, and</w:t>
      </w:r>
      <w:r>
        <w:rPr>
          <w:spacing w:val="-1"/>
          <w:sz w:val="24"/>
        </w:rPr>
        <w:t> </w:t>
      </w:r>
      <w:r>
        <w:rPr>
          <w:sz w:val="24"/>
        </w:rPr>
        <w:t>emergency</w:t>
      </w:r>
      <w:r>
        <w:rPr>
          <w:spacing w:val="-1"/>
          <w:sz w:val="24"/>
        </w:rPr>
        <w:t> </w:t>
      </w:r>
      <w:r>
        <w:rPr>
          <w:sz w:val="24"/>
        </w:rPr>
        <w:t>and first</w:t>
      </w:r>
      <w:r>
        <w:rPr>
          <w:spacing w:val="-1"/>
          <w:sz w:val="24"/>
        </w:rPr>
        <w:t> </w:t>
      </w:r>
      <w:r>
        <w:rPr>
          <w:sz w:val="24"/>
        </w:rPr>
        <w:t>responders.</w:t>
      </w:r>
    </w:p>
    <w:p>
      <w:pPr>
        <w:pStyle w:val="BodyText"/>
        <w:spacing w:before="6"/>
        <w:rPr>
          <w:sz w:val="27"/>
        </w:rPr>
      </w:pPr>
    </w:p>
    <w:p>
      <w:pPr>
        <w:pStyle w:val="BodyText"/>
        <w:ind w:left="120" w:right="206"/>
      </w:pPr>
      <w:r>
        <w:rPr/>
        <w:t>As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/>
        <w:t>June</w:t>
      </w:r>
      <w:r>
        <w:rPr>
          <w:spacing w:val="-1"/>
        </w:rPr>
        <w:t> </w:t>
      </w:r>
      <w:r>
        <w:rPr/>
        <w:t>30,</w:t>
      </w:r>
      <w:r>
        <w:rPr>
          <w:spacing w:val="-1"/>
        </w:rPr>
        <w:t> </w:t>
      </w:r>
      <w:r>
        <w:rPr/>
        <w:t>2020,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/>
        <w:t>following</w:t>
      </w:r>
      <w:r>
        <w:rPr>
          <w:spacing w:val="-1"/>
        </w:rPr>
        <w:t> </w:t>
      </w:r>
      <w:r>
        <w:rPr/>
        <w:t>grant</w:t>
      </w:r>
      <w:r>
        <w:rPr>
          <w:spacing w:val="-1"/>
        </w:rPr>
        <w:t> </w:t>
      </w:r>
      <w:r>
        <w:rPr/>
        <w:t>and</w:t>
      </w:r>
      <w:r>
        <w:rPr>
          <w:spacing w:val="-1"/>
        </w:rPr>
        <w:t> </w:t>
      </w:r>
      <w:r>
        <w:rPr/>
        <w:t>loans</w:t>
      </w:r>
      <w:r>
        <w:rPr>
          <w:spacing w:val="-1"/>
        </w:rPr>
        <w:t> </w:t>
      </w:r>
      <w:r>
        <w:rPr/>
        <w:t>had</w:t>
      </w:r>
      <w:r>
        <w:rPr>
          <w:spacing w:val="-1"/>
        </w:rPr>
        <w:t> </w:t>
      </w:r>
      <w:r>
        <w:rPr/>
        <w:t>been</w:t>
      </w:r>
      <w:r>
        <w:rPr>
          <w:spacing w:val="-1"/>
        </w:rPr>
        <w:t> </w:t>
      </w:r>
      <w:r>
        <w:rPr/>
        <w:t>awarded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</w:t>
      </w:r>
      <w:r>
        <w:rPr/>
        <w:t>businesses</w:t>
      </w:r>
      <w:r>
        <w:rPr>
          <w:spacing w:val="-1"/>
        </w:rPr>
        <w:t> </w:t>
      </w:r>
      <w:r>
        <w:rPr/>
        <w:t>and</w:t>
      </w:r>
      <w:r>
        <w:rPr>
          <w:spacing w:val="-1"/>
        </w:rPr>
        <w:t> </w:t>
      </w:r>
      <w:r>
        <w:rPr/>
        <w:t>nonprofit</w:t>
      </w:r>
      <w:r>
        <w:rPr>
          <w:spacing w:val="-57"/>
        </w:rPr>
        <w:t> </w:t>
      </w:r>
      <w:r>
        <w:rPr/>
        <w:t>organizations:</w:t>
      </w:r>
    </w:p>
    <w:p>
      <w:pPr>
        <w:pStyle w:val="ListParagraph"/>
        <w:numPr>
          <w:ilvl w:val="1"/>
          <w:numId w:val="3"/>
        </w:numPr>
        <w:tabs>
          <w:tab w:pos="1059" w:val="left" w:leader="none"/>
          <w:tab w:pos="1060" w:val="left" w:leader="none"/>
        </w:tabs>
        <w:spacing w:line="240" w:lineRule="auto" w:before="0" w:after="0"/>
        <w:ind w:left="1059" w:right="0" w:hanging="361"/>
        <w:jc w:val="left"/>
        <w:rPr>
          <w:sz w:val="24"/>
        </w:rPr>
      </w:pPr>
      <w:r>
        <w:rPr>
          <w:sz w:val="24"/>
        </w:rPr>
        <w:t>Relief</w:t>
      </w:r>
      <w:r>
        <w:rPr>
          <w:spacing w:val="-2"/>
          <w:sz w:val="24"/>
        </w:rPr>
        <w:t> </w:t>
      </w:r>
      <w:r>
        <w:rPr>
          <w:sz w:val="24"/>
        </w:rPr>
        <w:t>Loans</w:t>
      </w:r>
      <w:r>
        <w:rPr>
          <w:spacing w:val="-1"/>
          <w:sz w:val="24"/>
        </w:rPr>
        <w:t> </w:t>
      </w:r>
      <w:r>
        <w:rPr>
          <w:sz w:val="24"/>
        </w:rPr>
        <w:t>(146),</w:t>
      </w:r>
      <w:r>
        <w:rPr>
          <w:spacing w:val="-1"/>
          <w:sz w:val="24"/>
        </w:rPr>
        <w:t> </w:t>
      </w:r>
      <w:r>
        <w:rPr>
          <w:sz w:val="24"/>
        </w:rPr>
        <w:t>$6,850,695</w:t>
      </w:r>
    </w:p>
    <w:p>
      <w:pPr>
        <w:pStyle w:val="ListParagraph"/>
        <w:numPr>
          <w:ilvl w:val="1"/>
          <w:numId w:val="3"/>
        </w:numPr>
        <w:tabs>
          <w:tab w:pos="1059" w:val="left" w:leader="none"/>
          <w:tab w:pos="1060" w:val="left" w:leader="none"/>
        </w:tabs>
        <w:spacing w:line="240" w:lineRule="auto" w:before="0" w:after="0"/>
        <w:ind w:left="1059" w:right="0" w:hanging="361"/>
        <w:jc w:val="left"/>
        <w:rPr>
          <w:sz w:val="24"/>
        </w:rPr>
      </w:pPr>
      <w:r>
        <w:rPr>
          <w:sz w:val="24"/>
        </w:rPr>
        <w:t>Relief</w:t>
      </w:r>
      <w:r>
        <w:rPr>
          <w:spacing w:val="-3"/>
          <w:sz w:val="24"/>
        </w:rPr>
        <w:t> </w:t>
      </w:r>
      <w:r>
        <w:rPr>
          <w:sz w:val="24"/>
        </w:rPr>
        <w:t>Grants</w:t>
      </w:r>
      <w:r>
        <w:rPr>
          <w:spacing w:val="-1"/>
          <w:sz w:val="24"/>
        </w:rPr>
        <w:t> </w:t>
      </w:r>
      <w:r>
        <w:rPr>
          <w:sz w:val="24"/>
        </w:rPr>
        <w:t>(4,154),</w:t>
      </w:r>
      <w:r>
        <w:rPr>
          <w:spacing w:val="-1"/>
          <w:sz w:val="24"/>
        </w:rPr>
        <w:t> </w:t>
      </w:r>
      <w:r>
        <w:rPr>
          <w:sz w:val="24"/>
        </w:rPr>
        <w:t>$40,820,049</w:t>
      </w:r>
    </w:p>
    <w:p>
      <w:pPr>
        <w:pStyle w:val="ListParagraph"/>
        <w:numPr>
          <w:ilvl w:val="1"/>
          <w:numId w:val="3"/>
        </w:numPr>
        <w:tabs>
          <w:tab w:pos="1059" w:val="left" w:leader="none"/>
          <w:tab w:pos="1060" w:val="left" w:leader="none"/>
        </w:tabs>
        <w:spacing w:line="240" w:lineRule="auto" w:before="0" w:after="0"/>
        <w:ind w:left="1059" w:right="0" w:hanging="361"/>
        <w:jc w:val="left"/>
        <w:rPr>
          <w:sz w:val="24"/>
        </w:rPr>
      </w:pPr>
      <w:r>
        <w:rPr>
          <w:sz w:val="24"/>
        </w:rPr>
        <w:t>Manufacturing</w:t>
      </w:r>
      <w:r>
        <w:rPr>
          <w:spacing w:val="-2"/>
          <w:sz w:val="24"/>
        </w:rPr>
        <w:t> </w:t>
      </w:r>
      <w:r>
        <w:rPr>
          <w:sz w:val="24"/>
        </w:rPr>
        <w:t>Grants</w:t>
      </w:r>
      <w:r>
        <w:rPr>
          <w:spacing w:val="-1"/>
          <w:sz w:val="24"/>
        </w:rPr>
        <w:t> </w:t>
      </w:r>
      <w:r>
        <w:rPr>
          <w:sz w:val="24"/>
        </w:rPr>
        <w:t>(53),</w:t>
      </w:r>
      <w:r>
        <w:rPr>
          <w:spacing w:val="-2"/>
          <w:sz w:val="24"/>
        </w:rPr>
        <w:t> </w:t>
      </w:r>
      <w:r>
        <w:rPr>
          <w:sz w:val="24"/>
        </w:rPr>
        <w:t>$1,848,997</w:t>
      </w:r>
    </w:p>
    <w:p>
      <w:pPr>
        <w:pStyle w:val="ListParagraph"/>
        <w:numPr>
          <w:ilvl w:val="1"/>
          <w:numId w:val="3"/>
        </w:numPr>
        <w:tabs>
          <w:tab w:pos="1059" w:val="left" w:leader="none"/>
          <w:tab w:pos="1060" w:val="left" w:leader="none"/>
        </w:tabs>
        <w:spacing w:line="240" w:lineRule="auto" w:before="0" w:after="0"/>
        <w:ind w:left="1059" w:right="0" w:hanging="361"/>
        <w:jc w:val="left"/>
        <w:rPr>
          <w:sz w:val="24"/>
        </w:rPr>
      </w:pPr>
      <w:r>
        <w:rPr>
          <w:sz w:val="24"/>
        </w:rPr>
        <w:t>MSAC</w:t>
      </w:r>
      <w:r>
        <w:rPr>
          <w:spacing w:val="-3"/>
          <w:sz w:val="24"/>
        </w:rPr>
        <w:t> </w:t>
      </w:r>
      <w:r>
        <w:rPr>
          <w:sz w:val="24"/>
        </w:rPr>
        <w:t>Emergency</w:t>
      </w:r>
      <w:r>
        <w:rPr>
          <w:spacing w:val="-2"/>
          <w:sz w:val="24"/>
        </w:rPr>
        <w:t> </w:t>
      </w:r>
      <w:r>
        <w:rPr>
          <w:sz w:val="24"/>
        </w:rPr>
        <w:t>Grants:</w:t>
      </w:r>
      <w:r>
        <w:rPr>
          <w:spacing w:val="-2"/>
          <w:sz w:val="24"/>
        </w:rPr>
        <w:t> </w:t>
      </w:r>
      <w:r>
        <w:rPr>
          <w:sz w:val="24"/>
        </w:rPr>
        <w:t>(125),</w:t>
      </w:r>
      <w:r>
        <w:rPr>
          <w:spacing w:val="-1"/>
          <w:sz w:val="24"/>
        </w:rPr>
        <w:t> </w:t>
      </w:r>
      <w:r>
        <w:rPr>
          <w:sz w:val="24"/>
        </w:rPr>
        <w:t>$1,000,000</w:t>
      </w:r>
    </w:p>
    <w:p>
      <w:pPr>
        <w:pStyle w:val="BodyText"/>
        <w:spacing w:before="2"/>
      </w:pPr>
    </w:p>
    <w:p>
      <w:pPr>
        <w:pStyle w:val="Heading3"/>
      </w:pPr>
      <w:r>
        <w:rPr/>
        <w:t>Business</w:t>
      </w:r>
      <w:r>
        <w:rPr>
          <w:spacing w:val="-3"/>
        </w:rPr>
        <w:t> </w:t>
      </w:r>
      <w:r>
        <w:rPr/>
        <w:t>Advisory</w:t>
      </w:r>
      <w:r>
        <w:rPr>
          <w:spacing w:val="-2"/>
        </w:rPr>
        <w:t> </w:t>
      </w:r>
      <w:r>
        <w:rPr/>
        <w:t>Groups</w:t>
      </w:r>
    </w:p>
    <w:p>
      <w:pPr>
        <w:pStyle w:val="BodyText"/>
        <w:ind w:left="120" w:right="262"/>
      </w:pPr>
      <w:r>
        <w:rPr/>
        <w:t>The department partnered with a broad range of customers/businesses to organize 13 advisory</w:t>
      </w:r>
      <w:r>
        <w:rPr>
          <w:spacing w:val="1"/>
        </w:rPr>
        <w:t> </w:t>
      </w:r>
      <w:r>
        <w:rPr/>
        <w:t>groups to develop guidance and safety best practices for reopening establishments. The advisory</w:t>
      </w:r>
      <w:r>
        <w:rPr>
          <w:spacing w:val="-58"/>
        </w:rPr>
        <w:t> </w:t>
      </w:r>
      <w:r>
        <w:rPr/>
        <w:t>groups included: Tourism, Attractions, Sports, Small Business/Personal Services, Restaurants,</w:t>
      </w:r>
      <w:r>
        <w:rPr>
          <w:spacing w:val="1"/>
        </w:rPr>
        <w:t> </w:t>
      </w:r>
      <w:r>
        <w:rPr/>
        <w:t>Professional and Financial Services, Manufacturing, Lodging, Tourism Transportation,</w:t>
      </w:r>
      <w:r>
        <w:rPr>
          <w:spacing w:val="1"/>
        </w:rPr>
        <w:t> </w:t>
      </w:r>
      <w:r>
        <w:rPr/>
        <w:t>Destinations, Construction and Development, and Arts. The Governor also created a nonprofit</w:t>
      </w:r>
      <w:r>
        <w:rPr>
          <w:spacing w:val="1"/>
        </w:rPr>
        <w:t> </w:t>
      </w:r>
      <w:r>
        <w:rPr/>
        <w:t>and</w:t>
      </w:r>
      <w:r>
        <w:rPr>
          <w:spacing w:val="-2"/>
        </w:rPr>
        <w:t> </w:t>
      </w:r>
      <w:r>
        <w:rPr/>
        <w:t>faith-based</w:t>
      </w:r>
      <w:r>
        <w:rPr>
          <w:spacing w:val="-1"/>
        </w:rPr>
        <w:t> </w:t>
      </w:r>
      <w:r>
        <w:rPr/>
        <w:t>task</w:t>
      </w:r>
      <w:r>
        <w:rPr>
          <w:spacing w:val="-1"/>
        </w:rPr>
        <w:t> </w:t>
      </w:r>
      <w:r>
        <w:rPr/>
        <w:t>force,</w:t>
      </w:r>
      <w:r>
        <w:rPr>
          <w:spacing w:val="-1"/>
        </w:rPr>
        <w:t> </w:t>
      </w:r>
      <w:r>
        <w:rPr/>
        <w:t>both</w:t>
      </w:r>
      <w:r>
        <w:rPr>
          <w:spacing w:val="-1"/>
        </w:rPr>
        <w:t> </w:t>
      </w:r>
      <w:r>
        <w:rPr/>
        <w:t>coordinated</w:t>
      </w:r>
      <w:r>
        <w:rPr>
          <w:spacing w:val="-2"/>
        </w:rPr>
        <w:t> </w:t>
      </w:r>
      <w:r>
        <w:rPr/>
        <w:t>by</w:t>
      </w:r>
      <w:r>
        <w:rPr>
          <w:spacing w:val="-3"/>
        </w:rPr>
        <w:t> </w:t>
      </w:r>
      <w:r>
        <w:rPr/>
        <w:t>the</w:t>
      </w:r>
      <w:r>
        <w:rPr>
          <w:spacing w:val="-1"/>
        </w:rPr>
        <w:t> </w:t>
      </w:r>
      <w:r>
        <w:rPr/>
        <w:t>Governor’s</w:t>
      </w:r>
      <w:r>
        <w:rPr>
          <w:spacing w:val="-1"/>
        </w:rPr>
        <w:t> </w:t>
      </w:r>
      <w:r>
        <w:rPr/>
        <w:t>Office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/>
        <w:t>Community</w:t>
      </w:r>
      <w:r>
        <w:rPr>
          <w:spacing w:val="-1"/>
        </w:rPr>
        <w:t> </w:t>
      </w:r>
      <w:r>
        <w:rPr/>
        <w:t>Initiatives.</w:t>
      </w:r>
    </w:p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Heading3"/>
        <w:spacing w:before="80"/>
      </w:pPr>
      <w:bookmarkStart w:name="Maryland’s COVID-19 Business Response We" w:id="14"/>
      <w:bookmarkEnd w:id="14"/>
      <w:r>
        <w:rPr>
          <w:b w:val="0"/>
        </w:rPr>
      </w:r>
      <w:r>
        <w:rPr/>
        <w:t>Maryland’s</w:t>
      </w:r>
      <w:r>
        <w:rPr>
          <w:spacing w:val="-4"/>
        </w:rPr>
        <w:t> </w:t>
      </w:r>
      <w:r>
        <w:rPr/>
        <w:t>COVID-19</w:t>
      </w:r>
      <w:r>
        <w:rPr>
          <w:spacing w:val="-3"/>
        </w:rPr>
        <w:t> </w:t>
      </w:r>
      <w:r>
        <w:rPr/>
        <w:t>Business</w:t>
      </w:r>
      <w:r>
        <w:rPr>
          <w:spacing w:val="-2"/>
        </w:rPr>
        <w:t> </w:t>
      </w:r>
      <w:r>
        <w:rPr/>
        <w:t>Response</w:t>
      </w:r>
      <w:r>
        <w:rPr>
          <w:spacing w:val="-3"/>
        </w:rPr>
        <w:t> </w:t>
      </w:r>
      <w:r>
        <w:rPr/>
        <w:t>Web</w:t>
      </w:r>
      <w:r>
        <w:rPr>
          <w:spacing w:val="-3"/>
        </w:rPr>
        <w:t> </w:t>
      </w:r>
      <w:r>
        <w:rPr/>
        <w:t>Page</w:t>
      </w:r>
    </w:p>
    <w:p>
      <w:pPr>
        <w:pStyle w:val="BodyText"/>
        <w:ind w:left="120" w:right="944"/>
      </w:pPr>
      <w:r>
        <w:rPr/>
        <w:t>The Department set up Maryland’s COVID-19 Business Response web page</w:t>
      </w:r>
      <w:r>
        <w:rPr>
          <w:spacing w:val="1"/>
        </w:rPr>
        <w:t> </w:t>
      </w:r>
      <w:r>
        <w:rPr>
          <w:color w:val="212121"/>
        </w:rPr>
        <w:t>(</w:t>
      </w:r>
      <w:hyperlink r:id="rId21">
        <w:r>
          <w:rPr>
            <w:color w:val="1154CC"/>
            <w:u w:val="single" w:color="1154CC"/>
          </w:rPr>
          <w:t>https://govstatus.egov.com/md-coronavirus-business</w:t>
        </w:r>
      </w:hyperlink>
      <w:r>
        <w:rPr>
          <w:color w:val="212121"/>
        </w:rPr>
        <w:t>) </w:t>
      </w:r>
      <w:r>
        <w:rPr/>
        <w:t>where businesses could easily find</w:t>
      </w:r>
      <w:r>
        <w:rPr>
          <w:spacing w:val="-57"/>
        </w:rPr>
        <w:t> </w:t>
      </w:r>
      <w:r>
        <w:rPr/>
        <w:t>information</w:t>
      </w:r>
      <w:r>
        <w:rPr>
          <w:spacing w:val="-1"/>
        </w:rPr>
        <w:t> </w:t>
      </w:r>
      <w:r>
        <w:rPr/>
        <w:t>on:</w:t>
      </w: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hyperlink r:id="rId22">
        <w:r>
          <w:rPr>
            <w:sz w:val="24"/>
          </w:rPr>
          <w:t>Business</w:t>
        </w:r>
        <w:r>
          <w:rPr>
            <w:spacing w:val="-3"/>
            <w:sz w:val="24"/>
          </w:rPr>
          <w:t> </w:t>
        </w:r>
        <w:r>
          <w:rPr>
            <w:sz w:val="24"/>
          </w:rPr>
          <w:t>Closures,</w:t>
        </w:r>
        <w:r>
          <w:rPr>
            <w:spacing w:val="-2"/>
            <w:sz w:val="24"/>
          </w:rPr>
          <w:t> </w:t>
        </w:r>
        <w:r>
          <w:rPr>
            <w:sz w:val="24"/>
          </w:rPr>
          <w:t>Restrictions,</w:t>
        </w:r>
        <w:r>
          <w:rPr>
            <w:spacing w:val="-3"/>
            <w:sz w:val="24"/>
          </w:rPr>
          <w:t> </w:t>
        </w:r>
        <w:r>
          <w:rPr>
            <w:sz w:val="24"/>
          </w:rPr>
          <w:t>and</w:t>
        </w:r>
        <w:r>
          <w:rPr>
            <w:spacing w:val="-4"/>
            <w:sz w:val="24"/>
          </w:rPr>
          <w:t> </w:t>
        </w:r>
        <w:r>
          <w:rPr>
            <w:sz w:val="24"/>
          </w:rPr>
          <w:t>Enforcement</w:t>
        </w:r>
      </w:hyperlink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hyperlink r:id="rId23">
        <w:r>
          <w:rPr>
            <w:sz w:val="24"/>
          </w:rPr>
          <w:t>Employer</w:t>
        </w:r>
        <w:r>
          <w:rPr>
            <w:spacing w:val="-2"/>
            <w:sz w:val="24"/>
          </w:rPr>
          <w:t> </w:t>
        </w:r>
        <w:r>
          <w:rPr>
            <w:sz w:val="24"/>
          </w:rPr>
          <w:t>and</w:t>
        </w:r>
        <w:r>
          <w:rPr>
            <w:spacing w:val="-1"/>
            <w:sz w:val="24"/>
          </w:rPr>
          <w:t> </w:t>
        </w:r>
        <w:r>
          <w:rPr>
            <w:sz w:val="24"/>
          </w:rPr>
          <w:t>Worker</w:t>
        </w:r>
        <w:r>
          <w:rPr>
            <w:spacing w:val="-1"/>
            <w:sz w:val="24"/>
          </w:rPr>
          <w:t> </w:t>
        </w:r>
        <w:r>
          <w:rPr>
            <w:sz w:val="24"/>
          </w:rPr>
          <w:t>Assistance</w:t>
        </w:r>
      </w:hyperlink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hyperlink r:id="rId24">
        <w:r>
          <w:rPr>
            <w:sz w:val="24"/>
          </w:rPr>
          <w:t>Financial</w:t>
        </w:r>
        <w:r>
          <w:rPr>
            <w:spacing w:val="-3"/>
            <w:sz w:val="24"/>
          </w:rPr>
          <w:t> </w:t>
        </w:r>
        <w:r>
          <w:rPr>
            <w:sz w:val="24"/>
          </w:rPr>
          <w:t>Assistance</w:t>
        </w:r>
      </w:hyperlink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hyperlink r:id="rId25">
        <w:r>
          <w:rPr>
            <w:sz w:val="24"/>
          </w:rPr>
          <w:t>Offers,</w:t>
        </w:r>
        <w:r>
          <w:rPr>
            <w:spacing w:val="-2"/>
            <w:sz w:val="24"/>
          </w:rPr>
          <w:t> </w:t>
        </w:r>
        <w:r>
          <w:rPr>
            <w:sz w:val="24"/>
          </w:rPr>
          <w:t>Donations,</w:t>
        </w:r>
        <w:r>
          <w:rPr>
            <w:spacing w:val="-3"/>
            <w:sz w:val="24"/>
          </w:rPr>
          <w:t> </w:t>
        </w:r>
        <w:r>
          <w:rPr>
            <w:sz w:val="24"/>
          </w:rPr>
          <w:t>and</w:t>
        </w:r>
        <w:r>
          <w:rPr>
            <w:spacing w:val="-3"/>
            <w:sz w:val="24"/>
          </w:rPr>
          <w:t> </w:t>
        </w:r>
        <w:r>
          <w:rPr>
            <w:sz w:val="24"/>
          </w:rPr>
          <w:t>Volunteer</w:t>
        </w:r>
        <w:r>
          <w:rPr>
            <w:spacing w:val="-1"/>
            <w:sz w:val="24"/>
          </w:rPr>
          <w:t> </w:t>
        </w:r>
        <w:r>
          <w:rPr>
            <w:sz w:val="24"/>
          </w:rPr>
          <w:t>Resources</w:t>
        </w:r>
      </w:hyperlink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r>
        <w:rPr>
          <w:sz w:val="24"/>
        </w:rPr>
        <w:t>MEMA’s</w:t>
      </w:r>
      <w:r>
        <w:rPr>
          <w:spacing w:val="-3"/>
          <w:sz w:val="24"/>
        </w:rPr>
        <w:t> </w:t>
      </w:r>
      <w:r>
        <w:rPr>
          <w:sz w:val="24"/>
        </w:rPr>
        <w:t>Virtual</w:t>
      </w:r>
      <w:r>
        <w:rPr>
          <w:spacing w:val="-2"/>
          <w:sz w:val="24"/>
        </w:rPr>
        <w:t> </w:t>
      </w:r>
      <w:r>
        <w:rPr>
          <w:sz w:val="24"/>
        </w:rPr>
        <w:t>Business</w:t>
      </w:r>
      <w:r>
        <w:rPr>
          <w:spacing w:val="-2"/>
          <w:sz w:val="24"/>
        </w:rPr>
        <w:t> </w:t>
      </w:r>
      <w:r>
        <w:rPr>
          <w:sz w:val="24"/>
        </w:rPr>
        <w:t>Operations</w:t>
      </w:r>
      <w:r>
        <w:rPr>
          <w:spacing w:val="-2"/>
          <w:sz w:val="24"/>
        </w:rPr>
        <w:t> </w:t>
      </w:r>
      <w:r>
        <w:rPr>
          <w:sz w:val="24"/>
        </w:rPr>
        <w:t>Center</w:t>
      </w:r>
    </w:p>
    <w:p>
      <w:pPr>
        <w:pStyle w:val="BodyText"/>
        <w:spacing w:before="7"/>
        <w:rPr>
          <w:sz w:val="27"/>
        </w:rPr>
      </w:pPr>
    </w:p>
    <w:p>
      <w:pPr>
        <w:pStyle w:val="Heading3"/>
      </w:pPr>
      <w:r>
        <w:rPr/>
        <w:t>Back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</w:t>
      </w:r>
      <w:r>
        <w:rPr/>
        <w:t>Business</w:t>
      </w:r>
      <w:r>
        <w:rPr>
          <w:spacing w:val="-1"/>
        </w:rPr>
        <w:t> </w:t>
      </w:r>
      <w:r>
        <w:rPr/>
        <w:t>Web</w:t>
      </w:r>
      <w:r>
        <w:rPr>
          <w:spacing w:val="-3"/>
        </w:rPr>
        <w:t> </w:t>
      </w:r>
      <w:r>
        <w:rPr/>
        <w:t>Page</w:t>
      </w:r>
    </w:p>
    <w:p>
      <w:pPr>
        <w:pStyle w:val="BodyText"/>
        <w:ind w:left="120" w:right="168"/>
      </w:pPr>
      <w:r>
        <w:rPr/>
        <w:t>The Department created the Back-to-Business web page</w:t>
      </w:r>
      <w:r>
        <w:rPr>
          <w:spacing w:val="1"/>
        </w:rPr>
        <w:t> </w:t>
      </w:r>
      <w:r>
        <w:rPr/>
        <w:t>(</w:t>
      </w:r>
      <w:hyperlink r:id="rId26">
        <w:r>
          <w:rPr>
            <w:color w:val="1154CC"/>
            <w:u w:val="single" w:color="1154CC"/>
          </w:rPr>
          <w:t>https://open.maryland.gov/backtobusiness/</w:t>
        </w:r>
      </w:hyperlink>
      <w:r>
        <w:rPr/>
        <w:t>) for businesses to find information on getting back to</w:t>
      </w:r>
      <w:r>
        <w:rPr>
          <w:spacing w:val="-58"/>
        </w:rPr>
        <w:t> </w:t>
      </w:r>
      <w:r>
        <w:rPr/>
        <w:t>business (</w:t>
      </w:r>
      <w:hyperlink r:id="rId27">
        <w:r>
          <w:rPr/>
          <w:t>Governor Hogan’s Maryland Strong: Roadmap to Recovery Plan</w:t>
        </w:r>
      </w:hyperlink>
      <w:r>
        <w:rPr/>
        <w:t>), best practices for</w:t>
      </w:r>
      <w:r>
        <w:rPr>
          <w:spacing w:val="1"/>
        </w:rPr>
        <w:t> </w:t>
      </w:r>
      <w:r>
        <w:rPr/>
        <w:t>safety,</w:t>
      </w:r>
      <w:r>
        <w:rPr>
          <w:spacing w:val="-1"/>
        </w:rPr>
        <w:t> </w:t>
      </w:r>
      <w:r>
        <w:rPr/>
        <w:t>and the Maryland</w:t>
      </w:r>
      <w:r>
        <w:rPr>
          <w:spacing w:val="-2"/>
        </w:rPr>
        <w:t> </w:t>
      </w:r>
      <w:r>
        <w:rPr/>
        <w:t>Strong, Back to Business</w:t>
      </w:r>
      <w:r>
        <w:rPr>
          <w:spacing w:val="-1"/>
        </w:rPr>
        <w:t> </w:t>
      </w:r>
      <w:r>
        <w:rPr/>
        <w:t>Pledge.</w:t>
      </w:r>
    </w:p>
    <w:p>
      <w:pPr>
        <w:pStyle w:val="BodyText"/>
        <w:spacing w:before="9"/>
        <w:rPr>
          <w:sz w:val="27"/>
        </w:rPr>
      </w:pPr>
    </w:p>
    <w:p>
      <w:pPr>
        <w:pStyle w:val="Heading3"/>
      </w:pPr>
      <w:r>
        <w:rPr/>
        <w:t>Frequently</w:t>
      </w:r>
      <w:r>
        <w:rPr>
          <w:spacing w:val="-4"/>
        </w:rPr>
        <w:t> </w:t>
      </w:r>
      <w:r>
        <w:rPr/>
        <w:t>Asked</w:t>
      </w:r>
      <w:r>
        <w:rPr>
          <w:spacing w:val="-3"/>
        </w:rPr>
        <w:t> </w:t>
      </w:r>
      <w:r>
        <w:rPr/>
        <w:t>Questions</w:t>
      </w:r>
      <w:r>
        <w:rPr>
          <w:spacing w:val="-2"/>
        </w:rPr>
        <w:t> </w:t>
      </w:r>
      <w:r>
        <w:rPr/>
        <w:t>Web</w:t>
      </w:r>
      <w:r>
        <w:rPr>
          <w:spacing w:val="-3"/>
        </w:rPr>
        <w:t> </w:t>
      </w:r>
      <w:r>
        <w:rPr/>
        <w:t>Page</w:t>
      </w:r>
    </w:p>
    <w:p>
      <w:pPr>
        <w:pStyle w:val="BodyText"/>
        <w:ind w:left="120" w:right="230"/>
      </w:pPr>
      <w:r>
        <w:rPr/>
        <w:t>In</w:t>
      </w:r>
      <w:r>
        <w:rPr>
          <w:spacing w:val="-2"/>
        </w:rPr>
        <w:t> </w:t>
      </w:r>
      <w:r>
        <w:rPr/>
        <w:t>collaboration</w:t>
      </w:r>
      <w:r>
        <w:rPr>
          <w:spacing w:val="-1"/>
        </w:rPr>
        <w:t> </w:t>
      </w:r>
      <w:r>
        <w:rPr/>
        <w:t>with</w:t>
      </w:r>
      <w:r>
        <w:rPr>
          <w:spacing w:val="-1"/>
        </w:rPr>
        <w:t> </w:t>
      </w:r>
      <w:r>
        <w:rPr/>
        <w:t>state</w:t>
      </w:r>
      <w:r>
        <w:rPr>
          <w:spacing w:val="-1"/>
        </w:rPr>
        <w:t> </w:t>
      </w:r>
      <w:r>
        <w:rPr/>
        <w:t>agency</w:t>
      </w:r>
      <w:r>
        <w:rPr>
          <w:spacing w:val="-1"/>
        </w:rPr>
        <w:t> </w:t>
      </w:r>
      <w:r>
        <w:rPr/>
        <w:t>partners</w:t>
      </w:r>
      <w:r>
        <w:rPr>
          <w:b/>
        </w:rPr>
        <w:t>,</w:t>
      </w:r>
      <w:r>
        <w:rPr>
          <w:b/>
          <w:spacing w:val="-3"/>
        </w:rPr>
        <w:t> </w:t>
      </w:r>
      <w:r>
        <w:rPr/>
        <w:t>the</w:t>
      </w:r>
      <w:r>
        <w:rPr>
          <w:spacing w:val="-1"/>
        </w:rPr>
        <w:t> </w:t>
      </w:r>
      <w:r>
        <w:rPr/>
        <w:t>department</w:t>
      </w:r>
      <w:r>
        <w:rPr>
          <w:spacing w:val="-1"/>
        </w:rPr>
        <w:t> </w:t>
      </w:r>
      <w:r>
        <w:rPr/>
        <w:t>set</w:t>
      </w:r>
      <w:r>
        <w:rPr>
          <w:spacing w:val="-3"/>
        </w:rPr>
        <w:t> </w:t>
      </w:r>
      <w:r>
        <w:rPr/>
        <w:t>up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</w:t>
      </w:r>
      <w:r>
        <w:rPr/>
        <w:t>Frequently</w:t>
      </w:r>
      <w:r>
        <w:rPr>
          <w:spacing w:val="-1"/>
        </w:rPr>
        <w:t> </w:t>
      </w:r>
      <w:r>
        <w:rPr/>
        <w:t>Asked</w:t>
      </w:r>
      <w:r>
        <w:rPr>
          <w:spacing w:val="-3"/>
        </w:rPr>
        <w:t> </w:t>
      </w:r>
      <w:r>
        <w:rPr/>
        <w:t>Questions</w:t>
      </w:r>
      <w:r>
        <w:rPr>
          <w:spacing w:val="-57"/>
        </w:rPr>
        <w:t> </w:t>
      </w:r>
      <w:r>
        <w:rPr/>
        <w:t>web</w:t>
      </w:r>
      <w:r>
        <w:rPr>
          <w:spacing w:val="-1"/>
        </w:rPr>
        <w:t> </w:t>
      </w:r>
      <w:r>
        <w:rPr/>
        <w:t>page</w:t>
      </w:r>
      <w:r>
        <w:rPr>
          <w:spacing w:val="-1"/>
        </w:rPr>
        <w:t> </w:t>
      </w:r>
      <w:r>
        <w:rPr/>
        <w:t>where businesses</w:t>
      </w:r>
      <w:r>
        <w:rPr>
          <w:spacing w:val="-1"/>
        </w:rPr>
        <w:t> </w:t>
      </w:r>
      <w:r>
        <w:rPr/>
        <w:t>could easily</w:t>
      </w:r>
      <w:r>
        <w:rPr>
          <w:spacing w:val="-1"/>
        </w:rPr>
        <w:t> </w:t>
      </w:r>
      <w:r>
        <w:rPr/>
        <w:t>find</w:t>
      </w:r>
      <w:r>
        <w:rPr>
          <w:spacing w:val="-1"/>
        </w:rPr>
        <w:t> </w:t>
      </w:r>
      <w:r>
        <w:rPr/>
        <w:t>answers to</w:t>
      </w:r>
      <w:r>
        <w:rPr>
          <w:spacing w:val="-1"/>
        </w:rPr>
        <w:t> </w:t>
      </w:r>
      <w:r>
        <w:rPr/>
        <w:t>many of</w:t>
      </w:r>
      <w:r>
        <w:rPr>
          <w:spacing w:val="-2"/>
        </w:rPr>
        <w:t> </w:t>
      </w:r>
      <w:r>
        <w:rPr/>
        <w:t>their</w:t>
      </w:r>
      <w:r>
        <w:rPr>
          <w:spacing w:val="-1"/>
        </w:rPr>
        <w:t> </w:t>
      </w:r>
      <w:r>
        <w:rPr/>
        <w:t>common concerns.</w:t>
      </w:r>
    </w:p>
    <w:p>
      <w:pPr>
        <w:pStyle w:val="BodyText"/>
        <w:spacing w:before="7"/>
        <w:rPr>
          <w:sz w:val="27"/>
        </w:rPr>
      </w:pPr>
    </w:p>
    <w:p>
      <w:pPr>
        <w:pStyle w:val="Heading3"/>
        <w:spacing w:before="1"/>
      </w:pPr>
      <w:r>
        <w:rPr/>
        <w:t>Email</w:t>
      </w:r>
      <w:r>
        <w:rPr>
          <w:spacing w:val="-3"/>
        </w:rPr>
        <w:t> </w:t>
      </w:r>
      <w:r>
        <w:rPr/>
        <w:t>Accounts</w:t>
      </w:r>
      <w:r>
        <w:rPr>
          <w:spacing w:val="-3"/>
        </w:rPr>
        <w:t> </w:t>
      </w:r>
      <w:r>
        <w:rPr/>
        <w:t>to</w:t>
      </w:r>
      <w:r>
        <w:rPr>
          <w:spacing w:val="-2"/>
        </w:rPr>
        <w:t> </w:t>
      </w:r>
      <w:r>
        <w:rPr/>
        <w:t>Handle</w:t>
      </w:r>
      <w:r>
        <w:rPr>
          <w:spacing w:val="-3"/>
        </w:rPr>
        <w:t> </w:t>
      </w:r>
      <w:r>
        <w:rPr/>
        <w:t>Multiple</w:t>
      </w:r>
      <w:r>
        <w:rPr>
          <w:spacing w:val="-2"/>
        </w:rPr>
        <w:t> </w:t>
      </w:r>
      <w:r>
        <w:rPr/>
        <w:t>Questions</w:t>
      </w:r>
    </w:p>
    <w:p>
      <w:pPr>
        <w:pStyle w:val="BodyText"/>
        <w:ind w:left="120" w:right="276"/>
      </w:pPr>
      <w:r>
        <w:rPr/>
        <w:t>New, targeted email accounts were created and monitored by multiple staff members to handle</w:t>
      </w:r>
      <w:r>
        <w:rPr>
          <w:spacing w:val="1"/>
        </w:rPr>
        <w:t> </w:t>
      </w:r>
      <w:r>
        <w:rPr/>
        <w:t>the numerous questions addressed to the Commerce Secretary, or over 20 partner state agencies,</w:t>
      </w:r>
      <w:r>
        <w:rPr>
          <w:spacing w:val="-57"/>
        </w:rPr>
        <w:t> </w:t>
      </w:r>
      <w:r>
        <w:rPr/>
        <w:t>and</w:t>
      </w:r>
      <w:r>
        <w:rPr>
          <w:spacing w:val="-2"/>
        </w:rPr>
        <w:t> </w:t>
      </w:r>
      <w:r>
        <w:rPr/>
        <w:t>questions</w:t>
      </w:r>
      <w:r>
        <w:rPr>
          <w:spacing w:val="-1"/>
        </w:rPr>
        <w:t> </w:t>
      </w:r>
      <w:r>
        <w:rPr/>
        <w:t>that</w:t>
      </w:r>
      <w:r>
        <w:rPr>
          <w:spacing w:val="-1"/>
        </w:rPr>
        <w:t> </w:t>
      </w:r>
      <w:r>
        <w:rPr/>
        <w:t>pertained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/>
        <w:t>Maryland</w:t>
      </w:r>
      <w:r>
        <w:rPr>
          <w:spacing w:val="-1"/>
        </w:rPr>
        <w:t> </w:t>
      </w:r>
      <w:r>
        <w:rPr/>
        <w:t>COVID-19</w:t>
      </w:r>
      <w:r>
        <w:rPr>
          <w:spacing w:val="-1"/>
        </w:rPr>
        <w:t> </w:t>
      </w:r>
      <w:r>
        <w:rPr/>
        <w:t>Emergency</w:t>
      </w:r>
      <w:r>
        <w:rPr>
          <w:spacing w:val="-1"/>
        </w:rPr>
        <w:t> </w:t>
      </w:r>
      <w:r>
        <w:rPr/>
        <w:t>Relief</w:t>
      </w:r>
      <w:r>
        <w:rPr>
          <w:spacing w:val="-2"/>
        </w:rPr>
        <w:t> </w:t>
      </w:r>
      <w:r>
        <w:rPr/>
        <w:t>Fund</w:t>
      </w:r>
      <w:r>
        <w:rPr>
          <w:spacing w:val="-1"/>
        </w:rPr>
        <w:t> </w:t>
      </w:r>
      <w:r>
        <w:rPr/>
        <w:t>Programs.</w:t>
      </w: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hyperlink r:id="rId28">
        <w:r>
          <w:rPr>
            <w:sz w:val="24"/>
          </w:rPr>
          <w:t>Secretary.Commerce@maryland.gov</w:t>
        </w:r>
      </w:hyperlink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0" w:hanging="360"/>
        <w:jc w:val="left"/>
        <w:rPr>
          <w:sz w:val="24"/>
        </w:rPr>
      </w:pPr>
      <w:hyperlink r:id="rId29">
        <w:r>
          <w:rPr>
            <w:sz w:val="24"/>
          </w:rPr>
          <w:t>Covid-19.Application@maryland.gov</w:t>
        </w:r>
      </w:hyperlink>
    </w:p>
    <w:p>
      <w:pPr>
        <w:pStyle w:val="BodyText"/>
        <w:ind w:left="120"/>
      </w:pPr>
      <w:r>
        <w:rPr/>
        <w:t>With</w:t>
      </w:r>
      <w:r>
        <w:rPr>
          <w:spacing w:val="-1"/>
        </w:rPr>
        <w:t> </w:t>
      </w:r>
      <w:r>
        <w:rPr/>
        <w:t>these</w:t>
      </w:r>
      <w:r>
        <w:rPr>
          <w:spacing w:val="-1"/>
        </w:rPr>
        <w:t> </w:t>
      </w:r>
      <w:r>
        <w:rPr/>
        <w:t>email</w:t>
      </w:r>
      <w:r>
        <w:rPr>
          <w:spacing w:val="-1"/>
        </w:rPr>
        <w:t> </w:t>
      </w:r>
      <w:r>
        <w:rPr/>
        <w:t>accounts,</w:t>
      </w:r>
      <w:r>
        <w:rPr>
          <w:spacing w:val="-2"/>
        </w:rPr>
        <w:t> </w:t>
      </w:r>
      <w:r>
        <w:rPr/>
        <w:t>we</w:t>
      </w:r>
      <w:r>
        <w:rPr>
          <w:spacing w:val="-1"/>
        </w:rPr>
        <w:t> </w:t>
      </w:r>
      <w:r>
        <w:rPr/>
        <w:t>were</w:t>
      </w:r>
      <w:r>
        <w:rPr>
          <w:spacing w:val="-2"/>
        </w:rPr>
        <w:t> </w:t>
      </w:r>
      <w:r>
        <w:rPr/>
        <w:t>able</w:t>
      </w:r>
      <w:r>
        <w:rPr>
          <w:spacing w:val="-1"/>
        </w:rPr>
        <w:t> </w:t>
      </w:r>
      <w:r>
        <w:rPr/>
        <w:t>to</w:t>
      </w:r>
      <w:r>
        <w:rPr>
          <w:spacing w:val="-3"/>
        </w:rPr>
        <w:t> </w:t>
      </w:r>
      <w:r>
        <w:rPr/>
        <w:t>efficiently</w:t>
      </w:r>
      <w:r>
        <w:rPr>
          <w:spacing w:val="-3"/>
        </w:rPr>
        <w:t> </w:t>
      </w:r>
      <w:r>
        <w:rPr/>
        <w:t>respond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</w:t>
      </w:r>
      <w:r>
        <w:rPr/>
        <w:t>hundreds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/>
        <w:t>questions</w:t>
      </w:r>
      <w:r>
        <w:rPr>
          <w:spacing w:val="-1"/>
        </w:rPr>
        <w:t> </w:t>
      </w:r>
      <w:r>
        <w:rPr/>
        <w:t>per</w:t>
      </w:r>
      <w:r>
        <w:rPr>
          <w:spacing w:val="-1"/>
        </w:rPr>
        <w:t> </w:t>
      </w:r>
      <w:r>
        <w:rPr/>
        <w:t>day.</w:t>
      </w:r>
    </w:p>
    <w:p>
      <w:pPr>
        <w:pStyle w:val="BodyText"/>
        <w:spacing w:before="7"/>
        <w:rPr>
          <w:sz w:val="27"/>
        </w:rPr>
      </w:pPr>
    </w:p>
    <w:p>
      <w:pPr>
        <w:pStyle w:val="Heading3"/>
      </w:pPr>
      <w:r>
        <w:rPr/>
        <w:t>Assistance</w:t>
      </w:r>
      <w:r>
        <w:rPr>
          <w:spacing w:val="-4"/>
        </w:rPr>
        <w:t> </w:t>
      </w:r>
      <w:r>
        <w:rPr/>
        <w:t>from</w:t>
      </w:r>
      <w:r>
        <w:rPr>
          <w:spacing w:val="-2"/>
        </w:rPr>
        <w:t> </w:t>
      </w:r>
      <w:r>
        <w:rPr/>
        <w:t>other</w:t>
      </w:r>
      <w:r>
        <w:rPr>
          <w:spacing w:val="-2"/>
        </w:rPr>
        <w:t> </w:t>
      </w:r>
      <w:r>
        <w:rPr/>
        <w:t>State</w:t>
      </w:r>
      <w:r>
        <w:rPr>
          <w:spacing w:val="-2"/>
        </w:rPr>
        <w:t> </w:t>
      </w:r>
      <w:r>
        <w:rPr/>
        <w:t>Agencies</w:t>
      </w:r>
    </w:p>
    <w:p>
      <w:pPr>
        <w:pStyle w:val="BodyText"/>
        <w:ind w:left="120" w:right="449"/>
      </w:pPr>
      <w:r>
        <w:rPr/>
        <w:t>The Department of Labor sought out assistance from other agencies, utilizing employees who</w:t>
      </w:r>
      <w:r>
        <w:rPr>
          <w:spacing w:val="1"/>
        </w:rPr>
        <w:t> </w:t>
      </w:r>
      <w:r>
        <w:rPr/>
        <w:t>may have been on administrative leave, to support the processing of emergency grant and loan</w:t>
      </w:r>
      <w:r>
        <w:rPr>
          <w:spacing w:val="-58"/>
        </w:rPr>
        <w:t> </w:t>
      </w:r>
      <w:r>
        <w:rPr/>
        <w:t>applications to expedite the response time for customers. In addition, approximately 150</w:t>
      </w:r>
      <w:r>
        <w:rPr>
          <w:spacing w:val="1"/>
        </w:rPr>
        <w:t> </w:t>
      </w:r>
      <w:r>
        <w:rPr/>
        <w:t>employees</w:t>
      </w:r>
      <w:r>
        <w:rPr>
          <w:spacing w:val="-1"/>
        </w:rPr>
        <w:t> </w:t>
      </w:r>
      <w:r>
        <w:rPr/>
        <w:t>from</w:t>
      </w:r>
      <w:r>
        <w:rPr>
          <w:spacing w:val="-2"/>
        </w:rPr>
        <w:t> </w:t>
      </w:r>
      <w:r>
        <w:rPr/>
        <w:t>other</w:t>
      </w:r>
      <w:r>
        <w:rPr>
          <w:spacing w:val="-1"/>
        </w:rPr>
        <w:t> </w:t>
      </w:r>
      <w:r>
        <w:rPr/>
        <w:t>agencies were</w:t>
      </w:r>
      <w:r>
        <w:rPr>
          <w:spacing w:val="-1"/>
        </w:rPr>
        <w:t> </w:t>
      </w:r>
      <w:r>
        <w:rPr/>
        <w:t>brought</w:t>
      </w:r>
      <w:r>
        <w:rPr>
          <w:spacing w:val="-1"/>
        </w:rPr>
        <w:t> </w:t>
      </w:r>
      <w:r>
        <w:rPr/>
        <w:t>on board to</w:t>
      </w:r>
      <w:r>
        <w:rPr>
          <w:spacing w:val="-1"/>
        </w:rPr>
        <w:t> </w:t>
      </w:r>
      <w:r>
        <w:rPr/>
        <w:t>expedite</w:t>
      </w:r>
      <w:r>
        <w:rPr>
          <w:spacing w:val="-1"/>
        </w:rPr>
        <w:t> </w:t>
      </w:r>
      <w:r>
        <w:rPr/>
        <w:t>the</w:t>
      </w:r>
      <w:r>
        <w:rPr>
          <w:spacing w:val="-1"/>
        </w:rPr>
        <w:t> </w:t>
      </w:r>
      <w:r>
        <w:rPr/>
        <w:t>applications.</w:t>
      </w:r>
    </w:p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1125"/>
        <w:rPr>
          <w:sz w:val="20"/>
        </w:rPr>
      </w:pPr>
      <w:r>
        <w:rPr>
          <w:sz w:val="20"/>
        </w:rPr>
        <w:drawing>
          <wp:inline distT="0" distB="0" distL="0" distR="0">
            <wp:extent cx="4640932" cy="6172200"/>
            <wp:effectExtent l="0" t="0" r="0" b="0"/>
            <wp:docPr id="25" name="image12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0932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  <w:spacing w:before="81"/>
      </w:pPr>
      <w:bookmarkStart w:name="_TOC_250002" w:id="15"/>
      <w:bookmarkStart w:name="Maryland Emergency Management Informatio" w:id="16"/>
      <w:r>
        <w:rPr>
          <w:b w:val="0"/>
        </w:rPr>
      </w:r>
      <w:r>
        <w:rPr/>
        <w:t>Maryland</w:t>
      </w:r>
      <w:r>
        <w:rPr>
          <w:spacing w:val="-7"/>
        </w:rPr>
        <w:t> </w:t>
      </w:r>
      <w:r>
        <w:rPr/>
        <w:t>Emergency</w:t>
      </w:r>
      <w:r>
        <w:rPr>
          <w:spacing w:val="-5"/>
        </w:rPr>
        <w:t> </w:t>
      </w:r>
      <w:r>
        <w:rPr/>
        <w:t>Management</w:t>
      </w:r>
      <w:r>
        <w:rPr>
          <w:spacing w:val="-5"/>
        </w:rPr>
        <w:t> </w:t>
      </w:r>
      <w:r>
        <w:rPr/>
        <w:t>Information</w:t>
      </w:r>
      <w:r>
        <w:rPr>
          <w:spacing w:val="-5"/>
        </w:rPr>
        <w:t> </w:t>
      </w:r>
      <w:bookmarkEnd w:id="15"/>
      <w:r>
        <w:rPr/>
        <w:t>Portal</w:t>
      </w:r>
    </w:p>
    <w:p>
      <w:pPr>
        <w:pStyle w:val="Heading2"/>
      </w:pPr>
      <w:r>
        <w:rPr/>
        <w:t>Joint</w:t>
      </w:r>
      <w:r>
        <w:rPr>
          <w:spacing w:val="-4"/>
        </w:rPr>
        <w:t> </w:t>
      </w:r>
      <w:r>
        <w:rPr/>
        <w:t>Operations</w:t>
      </w:r>
      <w:r>
        <w:rPr>
          <w:spacing w:val="-3"/>
        </w:rPr>
        <w:t> </w:t>
      </w:r>
      <w:r>
        <w:rPr/>
        <w:t>Center</w:t>
      </w:r>
      <w:r>
        <w:rPr>
          <w:spacing w:val="-2"/>
        </w:rPr>
        <w:t> </w:t>
      </w:r>
      <w:r>
        <w:rPr/>
        <w:t>(MJOC)</w:t>
      </w:r>
    </w:p>
    <w:p>
      <w:pPr>
        <w:pStyle w:val="Heading3"/>
        <w:spacing w:before="265"/>
        <w:jc w:val="both"/>
      </w:pPr>
      <w:r>
        <w:rPr/>
        <w:t>Improving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/>
        <w:t>Customer</w:t>
      </w:r>
      <w:r>
        <w:rPr>
          <w:spacing w:val="-3"/>
        </w:rPr>
        <w:t> </w:t>
      </w:r>
      <w:r>
        <w:rPr/>
        <w:t>Experience</w:t>
      </w:r>
      <w:r>
        <w:rPr>
          <w:spacing w:val="-3"/>
        </w:rPr>
        <w:t> </w:t>
      </w:r>
      <w:r>
        <w:rPr/>
        <w:t>from</w:t>
      </w:r>
      <w:r>
        <w:rPr>
          <w:spacing w:val="-3"/>
        </w:rPr>
        <w:t> </w:t>
      </w:r>
      <w:r>
        <w:rPr/>
        <w:t>Multiple</w:t>
      </w:r>
      <w:r>
        <w:rPr>
          <w:spacing w:val="-3"/>
        </w:rPr>
        <w:t> </w:t>
      </w:r>
      <w:r>
        <w:rPr/>
        <w:t>Perspectives</w:t>
      </w:r>
    </w:p>
    <w:p>
      <w:pPr>
        <w:pStyle w:val="BodyText"/>
        <w:ind w:left="120" w:right="176"/>
        <w:jc w:val="both"/>
      </w:pPr>
      <w:r>
        <w:rPr/>
        <w:t>One of the most notable efforts that the MEMA’s Risk Analysis team undertook to improve the</w:t>
      </w:r>
      <w:r>
        <w:rPr>
          <w:spacing w:val="1"/>
        </w:rPr>
        <w:t> </w:t>
      </w:r>
      <w:r>
        <w:rPr/>
        <w:t>overall customer experience for Maryland residents was the Maryland Coronavirus Dashboard.</w:t>
      </w:r>
      <w:r>
        <w:rPr>
          <w:spacing w:val="1"/>
        </w:rPr>
        <w:t> </w:t>
      </w:r>
      <w:r>
        <w:rPr/>
        <w:t>The</w:t>
      </w:r>
      <w:r>
        <w:rPr>
          <w:spacing w:val="-6"/>
        </w:rPr>
        <w:t> </w:t>
      </w:r>
      <w:r>
        <w:rPr/>
        <w:t>Risk</w:t>
      </w:r>
      <w:r>
        <w:rPr>
          <w:spacing w:val="-6"/>
        </w:rPr>
        <w:t> </w:t>
      </w:r>
      <w:r>
        <w:rPr/>
        <w:t>Analysis</w:t>
      </w:r>
      <w:r>
        <w:rPr>
          <w:spacing w:val="-7"/>
        </w:rPr>
        <w:t> </w:t>
      </w:r>
      <w:r>
        <w:rPr/>
        <w:t>Team,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/>
        <w:t>collaboration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MDH</w:t>
      </w:r>
      <w:r>
        <w:rPr>
          <w:spacing w:val="-7"/>
        </w:rPr>
        <w:t> </w:t>
      </w:r>
      <w:r>
        <w:rPr/>
        <w:t>(Maryland</w:t>
      </w:r>
      <w:r>
        <w:rPr>
          <w:spacing w:val="-6"/>
        </w:rPr>
        <w:t> </w:t>
      </w:r>
      <w:r>
        <w:rPr/>
        <w:t>Department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/>
        <w:t>Health)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DoIT</w:t>
      </w:r>
      <w:r>
        <w:rPr>
          <w:spacing w:val="-58"/>
        </w:rPr>
        <w:t> </w:t>
      </w:r>
      <w:r>
        <w:rPr/>
        <w:t>(Department of Information Technology), created a dashboard of COVID-19 related information</w:t>
      </w:r>
      <w:r>
        <w:rPr>
          <w:spacing w:val="1"/>
        </w:rPr>
        <w:t> </w:t>
      </w:r>
      <w:r>
        <w:rPr/>
        <w:t>and</w:t>
      </w:r>
      <w:r>
        <w:rPr>
          <w:spacing w:val="-13"/>
        </w:rPr>
        <w:t> </w:t>
      </w:r>
      <w:r>
        <w:rPr/>
        <w:t>statistics.</w:t>
      </w:r>
      <w:r>
        <w:rPr>
          <w:spacing w:val="-13"/>
        </w:rPr>
        <w:t> </w:t>
      </w:r>
      <w:r>
        <w:rPr/>
        <w:t>It</w:t>
      </w:r>
      <w:r>
        <w:rPr>
          <w:spacing w:val="-13"/>
        </w:rPr>
        <w:t> </w:t>
      </w:r>
      <w:r>
        <w:rPr/>
        <w:t>went</w:t>
      </w:r>
      <w:r>
        <w:rPr>
          <w:spacing w:val="-14"/>
        </w:rPr>
        <w:t> </w:t>
      </w:r>
      <w:r>
        <w:rPr/>
        <w:t>live</w:t>
      </w:r>
      <w:r>
        <w:rPr>
          <w:spacing w:val="-14"/>
        </w:rPr>
        <w:t> </w:t>
      </w:r>
      <w:r>
        <w:rPr/>
        <w:t>for</w:t>
      </w:r>
      <w:r>
        <w:rPr>
          <w:spacing w:val="-13"/>
        </w:rPr>
        <w:t> </w:t>
      </w:r>
      <w:r>
        <w:rPr/>
        <w:t>public</w:t>
      </w:r>
      <w:r>
        <w:rPr>
          <w:spacing w:val="-13"/>
        </w:rPr>
        <w:t> </w:t>
      </w:r>
      <w:r>
        <w:rPr/>
        <w:t>use</w:t>
      </w:r>
      <w:r>
        <w:rPr>
          <w:spacing w:val="-13"/>
        </w:rPr>
        <w:t> </w:t>
      </w:r>
      <w:r>
        <w:rPr/>
        <w:t>only</w:t>
      </w:r>
      <w:r>
        <w:rPr>
          <w:spacing w:val="-13"/>
        </w:rPr>
        <w:t> </w:t>
      </w:r>
      <w:r>
        <w:rPr/>
        <w:t>a</w:t>
      </w:r>
      <w:r>
        <w:rPr>
          <w:spacing w:val="-13"/>
        </w:rPr>
        <w:t> </w:t>
      </w:r>
      <w:r>
        <w:rPr/>
        <w:t>few</w:t>
      </w:r>
      <w:r>
        <w:rPr>
          <w:spacing w:val="-14"/>
        </w:rPr>
        <w:t> </w:t>
      </w:r>
      <w:r>
        <w:rPr/>
        <w:t>days</w:t>
      </w:r>
      <w:r>
        <w:rPr>
          <w:spacing w:val="-13"/>
        </w:rPr>
        <w:t> </w:t>
      </w:r>
      <w:r>
        <w:rPr/>
        <w:t>after</w:t>
      </w:r>
      <w:r>
        <w:rPr>
          <w:spacing w:val="-14"/>
        </w:rPr>
        <w:t> </w:t>
      </w:r>
      <w:r>
        <w:rPr/>
        <w:t>the</w:t>
      </w:r>
      <w:r>
        <w:rPr>
          <w:spacing w:val="-13"/>
        </w:rPr>
        <w:t> </w:t>
      </w:r>
      <w:r>
        <w:rPr/>
        <w:t>Public</w:t>
      </w:r>
      <w:r>
        <w:rPr>
          <w:spacing w:val="-13"/>
        </w:rPr>
        <w:t> </w:t>
      </w:r>
      <w:r>
        <w:rPr/>
        <w:t>Health</w:t>
      </w:r>
      <w:r>
        <w:rPr>
          <w:spacing w:val="-13"/>
        </w:rPr>
        <w:t> </w:t>
      </w:r>
      <w:r>
        <w:rPr/>
        <w:t>State</w:t>
      </w:r>
      <w:r>
        <w:rPr>
          <w:spacing w:val="-13"/>
        </w:rPr>
        <w:t> </w:t>
      </w:r>
      <w:r>
        <w:rPr/>
        <w:t>of</w:t>
      </w:r>
      <w:r>
        <w:rPr>
          <w:spacing w:val="-14"/>
        </w:rPr>
        <w:t> </w:t>
      </w:r>
      <w:r>
        <w:rPr/>
        <w:t>Emergency</w:t>
      </w:r>
      <w:r>
        <w:rPr>
          <w:spacing w:val="-58"/>
        </w:rPr>
        <w:t> </w:t>
      </w:r>
      <w:r>
        <w:rPr/>
        <w:t>was declared. The dashboard quickly became the official State go-to source for COVID-19</w:t>
      </w:r>
      <w:r>
        <w:rPr>
          <w:spacing w:val="1"/>
        </w:rPr>
        <w:t> </w:t>
      </w:r>
      <w:r>
        <w:rPr/>
        <w:t>infection and testing information, receiving over 50 million visits to date. Risk Analysis Team</w:t>
      </w:r>
      <w:r>
        <w:rPr>
          <w:spacing w:val="1"/>
        </w:rPr>
        <w:t> </w:t>
      </w:r>
      <w:r>
        <w:rPr/>
        <w:t>members worked daily (7 days a week) to maintain, update, and improve the dashboard. The</w:t>
      </w:r>
      <w:r>
        <w:rPr>
          <w:spacing w:val="1"/>
        </w:rPr>
        <w:t> </w:t>
      </w:r>
      <w:r>
        <w:rPr/>
        <w:t>dashboard is located at coronavirus.maryland.gov and represents customer service best practices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/>
        <w:t>efficiency, efficacy, breadth, and</w:t>
      </w:r>
      <w:r>
        <w:rPr>
          <w:spacing w:val="-2"/>
        </w:rPr>
        <w:t> </w:t>
      </w:r>
      <w:r>
        <w:rPr/>
        <w:t>transparency.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7"/>
        </w:rPr>
      </w:pPr>
      <w:r>
        <w:rPr/>
        <w:drawing>
          <wp:anchor distT="0" distB="0" distL="0" distR="0" allowOverlap="1" layoutInCell="1" locked="0" behindDoc="0" simplePos="0" relativeHeight="9">
            <wp:simplePos x="0" y="0"/>
            <wp:positionH relativeFrom="page">
              <wp:posOffset>1504950</wp:posOffset>
            </wp:positionH>
            <wp:positionV relativeFrom="paragraph">
              <wp:posOffset>226623</wp:posOffset>
            </wp:positionV>
            <wp:extent cx="4775233" cy="3910488"/>
            <wp:effectExtent l="0" t="0" r="0" b="0"/>
            <wp:wrapTopAndBottom/>
            <wp:docPr id="27" name="image13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5233" cy="3910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41"/>
        <w:ind w:left="120" w:right="216"/>
      </w:pPr>
      <w:r>
        <w:rPr/>
        <w:t>The</w:t>
      </w:r>
      <w:r>
        <w:rPr>
          <w:spacing w:val="-2"/>
        </w:rPr>
        <w:t> </w:t>
      </w:r>
      <w:r>
        <w:rPr/>
        <w:t>Maryland</w:t>
      </w:r>
      <w:r>
        <w:rPr>
          <w:spacing w:val="-2"/>
        </w:rPr>
        <w:t> </w:t>
      </w:r>
      <w:r>
        <w:rPr/>
        <w:t>Joint</w:t>
      </w:r>
      <w:r>
        <w:rPr>
          <w:spacing w:val="-2"/>
        </w:rPr>
        <w:t> </w:t>
      </w:r>
      <w:r>
        <w:rPr/>
        <w:t>Operations</w:t>
      </w:r>
      <w:r>
        <w:rPr>
          <w:spacing w:val="-1"/>
        </w:rPr>
        <w:t> </w:t>
      </w:r>
      <w:r>
        <w:rPr/>
        <w:t>Center</w:t>
      </w:r>
      <w:r>
        <w:rPr>
          <w:spacing w:val="-2"/>
        </w:rPr>
        <w:t> </w:t>
      </w:r>
      <w:r>
        <w:rPr/>
        <w:t>(MJOC)</w:t>
      </w:r>
      <w:r>
        <w:rPr>
          <w:spacing w:val="-2"/>
        </w:rPr>
        <w:t> </w:t>
      </w:r>
      <w:r>
        <w:rPr/>
        <w:t>serves</w:t>
      </w:r>
      <w:r>
        <w:rPr>
          <w:spacing w:val="-1"/>
        </w:rPr>
        <w:t> </w:t>
      </w:r>
      <w:r>
        <w:rPr/>
        <w:t>as</w:t>
      </w:r>
      <w:r>
        <w:rPr>
          <w:spacing w:val="-3"/>
        </w:rPr>
        <w:t> </w:t>
      </w:r>
      <w:r>
        <w:rPr/>
        <w:t>a</w:t>
      </w:r>
      <w:r>
        <w:rPr>
          <w:spacing w:val="-2"/>
        </w:rPr>
        <w:t> </w:t>
      </w:r>
      <w:r>
        <w:rPr/>
        <w:t>communications</w:t>
      </w:r>
      <w:r>
        <w:rPr>
          <w:spacing w:val="-1"/>
        </w:rPr>
        <w:t> </w:t>
      </w:r>
      <w:r>
        <w:rPr/>
        <w:t>hub</w:t>
      </w:r>
      <w:r>
        <w:rPr>
          <w:spacing w:val="-2"/>
        </w:rPr>
        <w:t> </w:t>
      </w:r>
      <w:r>
        <w:rPr/>
        <w:t>for</w:t>
      </w:r>
      <w:r>
        <w:rPr>
          <w:spacing w:val="-2"/>
        </w:rPr>
        <w:t> </w:t>
      </w:r>
      <w:r>
        <w:rPr/>
        <w:t>MEMA’s</w:t>
      </w:r>
      <w:r>
        <w:rPr>
          <w:spacing w:val="-57"/>
        </w:rPr>
        <w:t> </w:t>
      </w:r>
      <w:r>
        <w:rPr/>
        <w:t>operational partners. MJOC distributes alert and warning messages throughout the state. In</w:t>
      </w:r>
      <w:r>
        <w:rPr>
          <w:spacing w:val="1"/>
        </w:rPr>
        <w:t> </w:t>
      </w:r>
      <w:r>
        <w:rPr/>
        <w:t>addition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</w:t>
      </w:r>
      <w:r>
        <w:rPr/>
        <w:t>supporting</w:t>
      </w:r>
      <w:r>
        <w:rPr>
          <w:spacing w:val="-2"/>
        </w:rPr>
        <w:t> </w:t>
      </w:r>
      <w:r>
        <w:rPr/>
        <w:t>the</w:t>
      </w:r>
      <w:r>
        <w:rPr>
          <w:spacing w:val="-1"/>
        </w:rPr>
        <w:t> </w:t>
      </w:r>
      <w:r>
        <w:rPr/>
        <w:t>needs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</w:t>
      </w:r>
      <w:r>
        <w:rPr/>
        <w:t>local</w:t>
      </w:r>
      <w:r>
        <w:rPr>
          <w:spacing w:val="-1"/>
        </w:rPr>
        <w:t> </w:t>
      </w:r>
      <w:r>
        <w:rPr/>
        <w:t>and state</w:t>
      </w:r>
      <w:r>
        <w:rPr>
          <w:spacing w:val="-2"/>
        </w:rPr>
        <w:t> </w:t>
      </w:r>
      <w:r>
        <w:rPr/>
        <w:t>emergency</w:t>
      </w:r>
      <w:r>
        <w:rPr>
          <w:spacing w:val="-1"/>
        </w:rPr>
        <w:t> </w:t>
      </w:r>
      <w:r>
        <w:rPr/>
        <w:t>management</w:t>
      </w:r>
      <w:r>
        <w:rPr>
          <w:spacing w:val="1"/>
        </w:rPr>
        <w:t> </w:t>
      </w:r>
      <w:r>
        <w:rPr/>
        <w:t>customers,</w:t>
      </w:r>
    </w:p>
    <w:p>
      <w:pPr>
        <w:pStyle w:val="BodyText"/>
        <w:ind w:left="120" w:right="330"/>
      </w:pPr>
      <w:r>
        <w:rPr/>
        <w:t>the</w:t>
      </w:r>
      <w:r>
        <w:rPr>
          <w:spacing w:val="-2"/>
        </w:rPr>
        <w:t> </w:t>
      </w:r>
      <w:r>
        <w:rPr/>
        <w:t>MJOC</w:t>
      </w:r>
      <w:r>
        <w:rPr>
          <w:spacing w:val="-2"/>
        </w:rPr>
        <w:t> </w:t>
      </w:r>
      <w:r>
        <w:rPr/>
        <w:t>provides</w:t>
      </w:r>
      <w:r>
        <w:rPr>
          <w:spacing w:val="-2"/>
        </w:rPr>
        <w:t> </w:t>
      </w:r>
      <w:r>
        <w:rPr/>
        <w:t>dispatching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after</w:t>
      </w:r>
      <w:r>
        <w:rPr>
          <w:spacing w:val="-2"/>
        </w:rPr>
        <w:t> </w:t>
      </w:r>
      <w:r>
        <w:rPr/>
        <w:t>hours</w:t>
      </w:r>
      <w:r>
        <w:rPr>
          <w:spacing w:val="-3"/>
        </w:rPr>
        <w:t> </w:t>
      </w:r>
      <w:r>
        <w:rPr/>
        <w:t>answering</w:t>
      </w:r>
      <w:r>
        <w:rPr>
          <w:spacing w:val="-1"/>
        </w:rPr>
        <w:t> </w:t>
      </w:r>
      <w:r>
        <w:rPr/>
        <w:t>service</w:t>
      </w:r>
      <w:r>
        <w:rPr>
          <w:spacing w:val="-2"/>
        </w:rPr>
        <w:t> </w:t>
      </w:r>
      <w:r>
        <w:rPr/>
        <w:t>for</w:t>
      </w:r>
      <w:r>
        <w:rPr>
          <w:spacing w:val="-1"/>
        </w:rPr>
        <w:t> </w:t>
      </w:r>
      <w:r>
        <w:rPr/>
        <w:t>several</w:t>
      </w:r>
      <w:r>
        <w:rPr>
          <w:spacing w:val="-2"/>
        </w:rPr>
        <w:t> </w:t>
      </w:r>
      <w:r>
        <w:rPr/>
        <w:t>agencies.</w:t>
      </w:r>
      <w:r>
        <w:rPr>
          <w:spacing w:val="-3"/>
        </w:rPr>
        <w:t> </w:t>
      </w:r>
      <w:r>
        <w:rPr/>
        <w:t>Below</w:t>
      </w:r>
      <w:r>
        <w:rPr>
          <w:spacing w:val="-57"/>
        </w:rPr>
        <w:t> </w:t>
      </w:r>
      <w:r>
        <w:rPr/>
        <w:t>are</w:t>
      </w:r>
      <w:r>
        <w:rPr>
          <w:spacing w:val="-1"/>
        </w:rPr>
        <w:t> </w:t>
      </w:r>
      <w:r>
        <w:rPr/>
        <w:t>MJOC’s</w:t>
      </w:r>
      <w:r>
        <w:rPr>
          <w:spacing w:val="-2"/>
        </w:rPr>
        <w:t> </w:t>
      </w:r>
      <w:r>
        <w:rPr/>
        <w:t>FY20 statistics:</w:t>
      </w:r>
    </w:p>
    <w:p>
      <w:pPr>
        <w:spacing w:after="0"/>
        <w:sectPr>
          <w:pgSz w:w="12240" w:h="15840"/>
          <w:pgMar w:header="720" w:footer="800" w:top="1360" w:bottom="980" w:left="1320" w:right="1260"/>
        </w:sectPr>
      </w:pPr>
    </w:p>
    <w:p>
      <w:pPr>
        <w:pStyle w:val="Heading3"/>
        <w:tabs>
          <w:tab w:pos="8039" w:val="left" w:leader="none"/>
        </w:tabs>
        <w:spacing w:before="80"/>
      </w:pPr>
      <w:r>
        <w:rPr/>
        <w:t>Total</w:t>
      </w:r>
      <w:r>
        <w:rPr>
          <w:spacing w:val="-1"/>
        </w:rPr>
        <w:t> </w:t>
      </w:r>
      <w:r>
        <w:rPr/>
        <w:t>MJOC</w:t>
      </w:r>
      <w:r>
        <w:rPr>
          <w:spacing w:val="-2"/>
        </w:rPr>
        <w:t> </w:t>
      </w:r>
      <w:r>
        <w:rPr/>
        <w:t>Phone</w:t>
      </w:r>
      <w:r>
        <w:rPr>
          <w:spacing w:val="-1"/>
        </w:rPr>
        <w:t> </w:t>
      </w:r>
      <w:r>
        <w:rPr/>
        <w:t>Calls:</w:t>
        <w:tab/>
        <w:t>10,178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519" w:val="right" w:leader="none"/>
        </w:tabs>
        <w:spacing w:line="275" w:lineRule="exact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Maryland</w:t>
      </w:r>
      <w:r>
        <w:rPr>
          <w:spacing w:val="-1"/>
          <w:sz w:val="24"/>
        </w:rPr>
        <w:t> </w:t>
      </w:r>
      <w:r>
        <w:rPr>
          <w:sz w:val="24"/>
        </w:rPr>
        <w:t>Department of</w:t>
      </w:r>
      <w:r>
        <w:rPr>
          <w:spacing w:val="-1"/>
          <w:sz w:val="24"/>
        </w:rPr>
        <w:t> </w:t>
      </w:r>
      <w:r>
        <w:rPr>
          <w:sz w:val="24"/>
        </w:rPr>
        <w:t>the Environment</w:t>
      </w:r>
      <w:r>
        <w:rPr>
          <w:spacing w:val="-1"/>
          <w:sz w:val="24"/>
        </w:rPr>
        <w:t> </w:t>
      </w:r>
      <w:r>
        <w:rPr>
          <w:sz w:val="24"/>
        </w:rPr>
        <w:t>(MDE):</w:t>
        <w:tab/>
        <w:t>1210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519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Office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the State Fire</w:t>
      </w:r>
      <w:r>
        <w:rPr>
          <w:spacing w:val="-1"/>
          <w:sz w:val="24"/>
        </w:rPr>
        <w:t> </w:t>
      </w:r>
      <w:r>
        <w:rPr>
          <w:sz w:val="24"/>
        </w:rPr>
        <w:t>Marshal</w:t>
      </w:r>
      <w:r>
        <w:rPr>
          <w:spacing w:val="-1"/>
          <w:sz w:val="24"/>
        </w:rPr>
        <w:t> </w:t>
      </w:r>
      <w:r>
        <w:rPr>
          <w:sz w:val="24"/>
        </w:rPr>
        <w:t>(OSFM):</w:t>
        <w:tab/>
        <w:t>4272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399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Maryland</w:t>
      </w:r>
      <w:r>
        <w:rPr>
          <w:spacing w:val="-2"/>
          <w:sz w:val="24"/>
        </w:rPr>
        <w:t> </w:t>
      </w:r>
      <w:r>
        <w:rPr>
          <w:sz w:val="24"/>
        </w:rPr>
        <w:t>Occupational</w:t>
      </w:r>
      <w:r>
        <w:rPr>
          <w:spacing w:val="-1"/>
          <w:sz w:val="24"/>
        </w:rPr>
        <w:t> </w:t>
      </w:r>
      <w:r>
        <w:rPr>
          <w:sz w:val="24"/>
        </w:rPr>
        <w:t>Safety &amp; Health</w:t>
      </w:r>
      <w:r>
        <w:rPr>
          <w:spacing w:val="-3"/>
          <w:sz w:val="24"/>
        </w:rPr>
        <w:t> </w:t>
      </w:r>
      <w:r>
        <w:rPr>
          <w:sz w:val="24"/>
        </w:rPr>
        <w:t>(MOSH):</w:t>
        <w:tab/>
        <w:t>510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399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Baltimore</w:t>
      </w:r>
      <w:r>
        <w:rPr>
          <w:spacing w:val="-1"/>
          <w:sz w:val="24"/>
        </w:rPr>
        <w:t> </w:t>
      </w:r>
      <w:r>
        <w:rPr>
          <w:sz w:val="24"/>
        </w:rPr>
        <w:t>City</w:t>
      </w:r>
      <w:r>
        <w:rPr>
          <w:spacing w:val="-1"/>
          <w:sz w:val="24"/>
        </w:rPr>
        <w:t> </w:t>
      </w:r>
      <w:r>
        <w:rPr>
          <w:sz w:val="24"/>
        </w:rPr>
        <w:t>Environmental</w:t>
      </w:r>
      <w:r>
        <w:rPr>
          <w:spacing w:val="-1"/>
          <w:sz w:val="24"/>
        </w:rPr>
        <w:t> </w:t>
      </w:r>
      <w:r>
        <w:rPr>
          <w:sz w:val="24"/>
        </w:rPr>
        <w:t>Police</w:t>
      </w:r>
      <w:r>
        <w:rPr>
          <w:spacing w:val="-1"/>
          <w:sz w:val="24"/>
        </w:rPr>
        <w:t> </w:t>
      </w:r>
      <w:r>
        <w:rPr>
          <w:sz w:val="24"/>
        </w:rPr>
        <w:t>Department</w:t>
      </w:r>
      <w:r>
        <w:rPr>
          <w:spacing w:val="-1"/>
          <w:sz w:val="24"/>
        </w:rPr>
        <w:t> </w:t>
      </w:r>
      <w:r>
        <w:rPr>
          <w:sz w:val="24"/>
        </w:rPr>
        <w:t>(BCEPD):</w:t>
        <w:tab/>
        <w:t>231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519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CodeRed</w:t>
      </w:r>
      <w:r>
        <w:rPr>
          <w:spacing w:val="-1"/>
          <w:sz w:val="24"/>
        </w:rPr>
        <w:t> </w:t>
      </w:r>
      <w:r>
        <w:rPr>
          <w:sz w:val="24"/>
        </w:rPr>
        <w:t>Pages:</w:t>
        <w:tab/>
        <w:t>3146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399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Hotline</w:t>
      </w:r>
      <w:r>
        <w:rPr>
          <w:spacing w:val="-1"/>
          <w:sz w:val="24"/>
        </w:rPr>
        <w:t> </w:t>
      </w:r>
      <w:r>
        <w:rPr>
          <w:sz w:val="24"/>
        </w:rPr>
        <w:t>Pages:</w:t>
        <w:tab/>
        <w:t>809</w:t>
      </w:r>
    </w:p>
    <w:p>
      <w:pPr>
        <w:pStyle w:val="BodyText"/>
        <w:spacing w:before="276"/>
        <w:ind w:left="120" w:right="242"/>
      </w:pPr>
      <w:r>
        <w:rPr/>
        <w:t>NOTE: Four hotlines were created during the COVID-19 response. The hotlines included MDH,</w:t>
      </w:r>
      <w:r>
        <w:rPr>
          <w:spacing w:val="-58"/>
        </w:rPr>
        <w:t> </w:t>
      </w:r>
      <w:r>
        <w:rPr/>
        <w:t>Pleasant</w:t>
      </w:r>
      <w:r>
        <w:rPr>
          <w:spacing w:val="-1"/>
        </w:rPr>
        <w:t> </w:t>
      </w:r>
      <w:r>
        <w:rPr/>
        <w:t>View, Ventilator, and Bridge Team.</w:t>
      </w:r>
    </w:p>
    <w:p>
      <w:pPr>
        <w:pStyle w:val="Heading3"/>
        <w:tabs>
          <w:tab w:pos="8399" w:val="right" w:leader="none"/>
        </w:tabs>
        <w:spacing w:before="278"/>
      </w:pPr>
      <w:r>
        <w:rPr/>
        <w:t>Total</w:t>
      </w:r>
      <w:r>
        <w:rPr>
          <w:spacing w:val="-1"/>
        </w:rPr>
        <w:t> </w:t>
      </w:r>
      <w:r>
        <w:rPr/>
        <w:t>MJOC</w:t>
      </w:r>
      <w:r>
        <w:rPr>
          <w:spacing w:val="-1"/>
        </w:rPr>
        <w:t> </w:t>
      </w:r>
      <w:r>
        <w:rPr/>
        <w:t>Alert Messages:</w:t>
        <w:tab/>
        <w:t>499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399" w:val="right" w:leader="none"/>
        </w:tabs>
        <w:spacing w:line="275" w:lineRule="exact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MDSSTL</w:t>
      </w:r>
      <w:r>
        <w:rPr>
          <w:spacing w:val="-2"/>
          <w:sz w:val="24"/>
        </w:rPr>
        <w:t> </w:t>
      </w:r>
      <w:r>
        <w:rPr>
          <w:sz w:val="24"/>
        </w:rPr>
        <w:t>(Maryland School Safety</w:t>
      </w:r>
      <w:r>
        <w:rPr>
          <w:spacing w:val="-3"/>
          <w:sz w:val="24"/>
        </w:rPr>
        <w:t> </w:t>
      </w:r>
      <w:r>
        <w:rPr>
          <w:sz w:val="24"/>
        </w:rPr>
        <w:t>Tip Line) alerts:</w:t>
        <w:tab/>
        <w:t>429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279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Silver</w:t>
      </w:r>
      <w:r>
        <w:rPr>
          <w:spacing w:val="-2"/>
          <w:sz w:val="24"/>
        </w:rPr>
        <w:t> </w:t>
      </w:r>
      <w:r>
        <w:rPr>
          <w:sz w:val="24"/>
        </w:rPr>
        <w:t>(older</w:t>
      </w:r>
      <w:r>
        <w:rPr>
          <w:spacing w:val="-1"/>
          <w:sz w:val="24"/>
        </w:rPr>
        <w:t> </w:t>
      </w:r>
      <w:r>
        <w:rPr>
          <w:sz w:val="24"/>
        </w:rPr>
        <w:t>adults) alerts:</w:t>
        <w:tab/>
        <w:t>69</w:t>
      </w:r>
    </w:p>
    <w:p>
      <w:pPr>
        <w:pStyle w:val="ListParagraph"/>
        <w:numPr>
          <w:ilvl w:val="0"/>
          <w:numId w:val="4"/>
        </w:numPr>
        <w:tabs>
          <w:tab w:pos="1065" w:val="left" w:leader="none"/>
          <w:tab w:pos="1066" w:val="left" w:leader="none"/>
          <w:tab w:pos="8177" w:val="right" w:leader="none"/>
        </w:tabs>
        <w:spacing w:line="240" w:lineRule="auto" w:before="0" w:after="0"/>
        <w:ind w:left="1065" w:right="0" w:hanging="361"/>
        <w:jc w:val="left"/>
        <w:rPr>
          <w:sz w:val="24"/>
        </w:rPr>
      </w:pPr>
      <w:r>
        <w:rPr>
          <w:sz w:val="24"/>
        </w:rPr>
        <w:t>Amber</w:t>
      </w:r>
      <w:r>
        <w:rPr>
          <w:spacing w:val="-1"/>
          <w:sz w:val="24"/>
        </w:rPr>
        <w:t> </w:t>
      </w:r>
      <w:r>
        <w:rPr>
          <w:sz w:val="24"/>
        </w:rPr>
        <w:t>(child) alerts:</w:t>
        <w:tab/>
        <w:t>3</w:t>
      </w:r>
    </w:p>
    <w:p>
      <w:pPr>
        <w:spacing w:after="0" w:line="240" w:lineRule="auto"/>
        <w:jc w:val="left"/>
        <w:rPr>
          <w:sz w:val="24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  <w:spacing w:before="81"/>
      </w:pPr>
      <w:bookmarkStart w:name="_TOC_250001" w:id="17"/>
      <w:bookmarkStart w:name="Maryland Department of the Environment" w:id="18"/>
      <w:r>
        <w:rPr>
          <w:b w:val="0"/>
        </w:rPr>
      </w:r>
      <w:r>
        <w:rPr/>
        <w:t>Maryland</w:t>
      </w:r>
      <w:r>
        <w:rPr>
          <w:spacing w:val="-6"/>
        </w:rPr>
        <w:t> </w:t>
      </w:r>
      <w:r>
        <w:rPr/>
        <w:t>Department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bookmarkEnd w:id="17"/>
      <w:r>
        <w:rPr/>
        <w:t>Environment</w:t>
      </w:r>
    </w:p>
    <w:p>
      <w:pPr>
        <w:pStyle w:val="Heading2"/>
      </w:pPr>
      <w:r>
        <w:rPr/>
        <w:t>Expanding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Online</w:t>
      </w:r>
      <w:r>
        <w:rPr>
          <w:spacing w:val="-3"/>
        </w:rPr>
        <w:t> </w:t>
      </w:r>
      <w:r>
        <w:rPr/>
        <w:t>Environment</w:t>
      </w:r>
    </w:p>
    <w:p>
      <w:pPr>
        <w:pStyle w:val="Heading3"/>
        <w:spacing w:line="240" w:lineRule="auto" w:before="265"/>
      </w:pPr>
      <w:r>
        <w:rPr/>
        <w:t>Technical</w:t>
      </w:r>
      <w:r>
        <w:rPr>
          <w:spacing w:val="-3"/>
        </w:rPr>
        <w:t> </w:t>
      </w:r>
      <w:r>
        <w:rPr/>
        <w:t>Services</w:t>
      </w:r>
      <w:r>
        <w:rPr>
          <w:spacing w:val="-2"/>
        </w:rPr>
        <w:t> </w:t>
      </w:r>
      <w:r>
        <w:rPr/>
        <w:t>and</w:t>
      </w:r>
      <w:r>
        <w:rPr>
          <w:spacing w:val="-3"/>
        </w:rPr>
        <w:t> </w:t>
      </w:r>
      <w:r>
        <w:rPr/>
        <w:t>Operations</w:t>
      </w:r>
      <w:r>
        <w:rPr>
          <w:spacing w:val="-2"/>
        </w:rPr>
        <w:t> </w:t>
      </w:r>
      <w:r>
        <w:rPr/>
        <w:t>Program</w:t>
      </w:r>
    </w:p>
    <w:p>
      <w:pPr>
        <w:pStyle w:val="BodyText"/>
        <w:spacing w:before="8"/>
        <w:rPr>
          <w:b/>
          <w:sz w:val="20"/>
        </w:rPr>
      </w:pP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360" w:hanging="360"/>
        <w:jc w:val="left"/>
        <w:rPr>
          <w:sz w:val="24"/>
        </w:rPr>
      </w:pPr>
      <w:r>
        <w:rPr>
          <w:sz w:val="24"/>
        </w:rPr>
        <w:t>Began using EPA’s Industry Application software, allowing customers to submit more</w:t>
      </w:r>
      <w:r>
        <w:rPr>
          <w:spacing w:val="1"/>
          <w:sz w:val="24"/>
        </w:rPr>
        <w:t> </w:t>
      </w:r>
      <w:r>
        <w:rPr>
          <w:sz w:val="24"/>
        </w:rPr>
        <w:t>information electronically. This software allows facilities to submit requests to obtain,</w:t>
      </w:r>
      <w:r>
        <w:rPr>
          <w:spacing w:val="1"/>
          <w:sz w:val="24"/>
        </w:rPr>
        <w:t> </w:t>
      </w:r>
      <w:r>
        <w:rPr>
          <w:sz w:val="24"/>
        </w:rPr>
        <w:t>update, or deactivate an EPA ID number electronically. Between December 1, 2019 and</w:t>
      </w:r>
      <w:r>
        <w:rPr>
          <w:spacing w:val="-57"/>
          <w:sz w:val="24"/>
        </w:rPr>
        <w:t> </w:t>
      </w:r>
      <w:r>
        <w:rPr>
          <w:sz w:val="24"/>
        </w:rPr>
        <w:t>June 31, 2020, 198 requests were submitted online versus 42 requests on paper. This</w:t>
      </w:r>
      <w:r>
        <w:rPr>
          <w:spacing w:val="1"/>
          <w:sz w:val="24"/>
        </w:rPr>
        <w:t> </w:t>
      </w:r>
      <w:r>
        <w:rPr>
          <w:sz w:val="24"/>
        </w:rPr>
        <w:t>made it easier for the applicants to submit to the state and allowed for a quicker review.</w:t>
      </w:r>
      <w:r>
        <w:rPr>
          <w:spacing w:val="-57"/>
          <w:sz w:val="24"/>
        </w:rPr>
        <w:t> </w:t>
      </w:r>
      <w:r>
        <w:rPr>
          <w:sz w:val="24"/>
        </w:rPr>
        <w:t>In addition, EPA’s Biennial Report software went live on January 1, 2020, with a due</w:t>
      </w:r>
      <w:r>
        <w:rPr>
          <w:spacing w:val="1"/>
          <w:sz w:val="24"/>
        </w:rPr>
        <w:t> </w:t>
      </w:r>
      <w:r>
        <w:rPr>
          <w:sz w:val="24"/>
        </w:rPr>
        <w:t>date of March 1, 2020. The program received 872 reports submitted via the Biennial</w:t>
      </w:r>
      <w:r>
        <w:rPr>
          <w:spacing w:val="1"/>
          <w:sz w:val="24"/>
        </w:rPr>
        <w:t> </w:t>
      </w:r>
      <w:r>
        <w:rPr>
          <w:sz w:val="24"/>
        </w:rPr>
        <w:t>Report</w:t>
      </w:r>
      <w:r>
        <w:rPr>
          <w:spacing w:val="-1"/>
          <w:sz w:val="24"/>
        </w:rPr>
        <w:t> </w:t>
      </w:r>
      <w:r>
        <w:rPr>
          <w:sz w:val="24"/>
        </w:rPr>
        <w:t>software versus</w:t>
      </w:r>
      <w:r>
        <w:rPr>
          <w:spacing w:val="-1"/>
          <w:sz w:val="24"/>
        </w:rPr>
        <w:t> </w:t>
      </w:r>
      <w:r>
        <w:rPr>
          <w:sz w:val="24"/>
        </w:rPr>
        <w:t>151 submitted on paper.</w:t>
      </w:r>
    </w:p>
    <w:p>
      <w:pPr>
        <w:pStyle w:val="BodyText"/>
      </w:pP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185" w:hanging="360"/>
        <w:jc w:val="left"/>
        <w:rPr>
          <w:sz w:val="24"/>
        </w:rPr>
      </w:pPr>
      <w:r>
        <w:rPr>
          <w:sz w:val="24"/>
        </w:rPr>
        <w:t>Made several updates to the online Lead Rental Registry Portal to provide customers with</w:t>
      </w:r>
      <w:r>
        <w:rPr>
          <w:spacing w:val="-57"/>
          <w:sz w:val="24"/>
        </w:rPr>
        <w:t> </w:t>
      </w:r>
      <w:r>
        <w:rPr>
          <w:sz w:val="24"/>
        </w:rPr>
        <w:t>a more user-friendly platform to renew their property registrations online. Additional</w:t>
      </w:r>
      <w:r>
        <w:rPr>
          <w:spacing w:val="1"/>
          <w:sz w:val="24"/>
        </w:rPr>
        <w:t> </w:t>
      </w:r>
      <w:r>
        <w:rPr>
          <w:sz w:val="24"/>
        </w:rPr>
        <w:t>updates are scheduled throughout the year. As part of enhanced customer service efforts,</w:t>
      </w:r>
      <w:r>
        <w:rPr>
          <w:spacing w:val="1"/>
          <w:sz w:val="24"/>
        </w:rPr>
        <w:t> </w:t>
      </w:r>
      <w:r>
        <w:rPr>
          <w:sz w:val="24"/>
        </w:rPr>
        <w:t>the program’s</w:t>
      </w:r>
      <w:r>
        <w:rPr>
          <w:spacing w:val="1"/>
          <w:sz w:val="24"/>
        </w:rPr>
        <w:t> </w:t>
      </w:r>
      <w:r>
        <w:rPr>
          <w:sz w:val="24"/>
        </w:rPr>
        <w:t>Lead Rental</w:t>
      </w:r>
      <w:r>
        <w:rPr>
          <w:spacing w:val="1"/>
          <w:sz w:val="24"/>
        </w:rPr>
        <w:t> </w:t>
      </w:r>
      <w:r>
        <w:rPr>
          <w:sz w:val="24"/>
        </w:rPr>
        <w:t>Registry</w:t>
      </w:r>
      <w:r>
        <w:rPr>
          <w:spacing w:val="1"/>
          <w:sz w:val="24"/>
        </w:rPr>
        <w:t> </w:t>
      </w:r>
      <w:r>
        <w:rPr>
          <w:sz w:val="24"/>
        </w:rPr>
        <w:t>staff</w:t>
      </w:r>
      <w:r>
        <w:rPr>
          <w:spacing w:val="-1"/>
          <w:sz w:val="24"/>
        </w:rPr>
        <w:t> </w:t>
      </w:r>
      <w:r>
        <w:rPr>
          <w:sz w:val="24"/>
        </w:rPr>
        <w:t>implemented</w:t>
      </w:r>
      <w:r>
        <w:rPr>
          <w:spacing w:val="1"/>
          <w:sz w:val="24"/>
        </w:rPr>
        <w:t> </w:t>
      </w:r>
      <w:r>
        <w:rPr>
          <w:sz w:val="24"/>
        </w:rPr>
        <w:t>daily</w:t>
      </w:r>
      <w:r>
        <w:rPr>
          <w:spacing w:val="-1"/>
          <w:sz w:val="24"/>
        </w:rPr>
        <w:t> </w:t>
      </w:r>
      <w:r>
        <w:rPr>
          <w:sz w:val="24"/>
        </w:rPr>
        <w:t>meetings to</w:t>
      </w:r>
      <w:r>
        <w:rPr>
          <w:spacing w:val="1"/>
          <w:sz w:val="24"/>
        </w:rPr>
        <w:t> </w:t>
      </w:r>
      <w:r>
        <w:rPr>
          <w:sz w:val="24"/>
        </w:rPr>
        <w:t>help</w:t>
      </w:r>
      <w:r>
        <w:rPr>
          <w:spacing w:val="1"/>
          <w:sz w:val="24"/>
        </w:rPr>
        <w:t> </w:t>
      </w:r>
      <w:r>
        <w:rPr>
          <w:sz w:val="24"/>
        </w:rPr>
        <w:t>improve</w:t>
      </w:r>
      <w:r>
        <w:rPr>
          <w:spacing w:val="1"/>
          <w:sz w:val="24"/>
        </w:rPr>
        <w:t> </w:t>
      </w:r>
      <w:r>
        <w:rPr>
          <w:sz w:val="24"/>
        </w:rPr>
        <w:t>and streamline the communication of key points for the day and better manage the</w:t>
      </w:r>
      <w:r>
        <w:rPr>
          <w:spacing w:val="1"/>
          <w:sz w:val="24"/>
        </w:rPr>
        <w:t> </w:t>
      </w:r>
      <w:r>
        <w:rPr>
          <w:sz w:val="24"/>
        </w:rPr>
        <w:t>distribution</w:t>
      </w:r>
      <w:r>
        <w:rPr>
          <w:spacing w:val="-3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and completion of</w:t>
      </w:r>
      <w:r>
        <w:rPr>
          <w:spacing w:val="-1"/>
          <w:sz w:val="24"/>
        </w:rPr>
        <w:t> </w:t>
      </w:r>
      <w:r>
        <w:rPr>
          <w:sz w:val="24"/>
        </w:rPr>
        <w:t>assigned tasks.</w:t>
      </w:r>
    </w:p>
    <w:p>
      <w:pPr>
        <w:pStyle w:val="BodyText"/>
        <w:spacing w:before="1"/>
        <w:rPr>
          <w:sz w:val="21"/>
        </w:rPr>
      </w:pPr>
    </w:p>
    <w:p>
      <w:pPr>
        <w:pStyle w:val="Heading3"/>
        <w:spacing w:line="240" w:lineRule="auto"/>
      </w:pPr>
      <w:r>
        <w:rPr/>
        <w:t>Oil</w:t>
      </w:r>
      <w:r>
        <w:rPr>
          <w:spacing w:val="-2"/>
        </w:rPr>
        <w:t> </w:t>
      </w:r>
      <w:r>
        <w:rPr/>
        <w:t>Control</w:t>
      </w:r>
      <w:r>
        <w:rPr>
          <w:spacing w:val="-2"/>
        </w:rPr>
        <w:t> </w:t>
      </w:r>
      <w:r>
        <w:rPr/>
        <w:t>Program</w:t>
      </w:r>
    </w:p>
    <w:p>
      <w:pPr>
        <w:pStyle w:val="BodyText"/>
        <w:spacing w:before="8"/>
        <w:rPr>
          <w:b/>
          <w:sz w:val="20"/>
        </w:rPr>
      </w:pP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74" w:hanging="360"/>
        <w:jc w:val="left"/>
        <w:rPr>
          <w:sz w:val="24"/>
        </w:rPr>
      </w:pPr>
      <w:r>
        <w:rPr>
          <w:sz w:val="24"/>
        </w:rPr>
        <w:t>Expanded electronic record-keeping practices with respect to oil operations permits,</w:t>
      </w:r>
      <w:r>
        <w:rPr>
          <w:spacing w:val="1"/>
          <w:sz w:val="24"/>
        </w:rPr>
        <w:t> </w:t>
      </w:r>
      <w:r>
        <w:rPr>
          <w:sz w:val="24"/>
        </w:rPr>
        <w:t>which</w:t>
      </w:r>
      <w:r>
        <w:rPr>
          <w:spacing w:val="-2"/>
          <w:sz w:val="24"/>
        </w:rPr>
        <w:t> </w:t>
      </w:r>
      <w:r>
        <w:rPr>
          <w:sz w:val="24"/>
        </w:rPr>
        <w:t>are</w:t>
      </w:r>
      <w:r>
        <w:rPr>
          <w:spacing w:val="-2"/>
          <w:sz w:val="24"/>
        </w:rPr>
        <w:t> </w:t>
      </w:r>
      <w:r>
        <w:rPr>
          <w:sz w:val="24"/>
        </w:rPr>
        <w:t>issued</w:t>
      </w:r>
      <w:r>
        <w:rPr>
          <w:spacing w:val="-1"/>
          <w:sz w:val="24"/>
        </w:rPr>
        <w:t> </w:t>
      </w:r>
      <w:r>
        <w:rPr>
          <w:sz w:val="24"/>
        </w:rPr>
        <w:t>for</w:t>
      </w:r>
      <w:r>
        <w:rPr>
          <w:spacing w:val="-1"/>
          <w:sz w:val="24"/>
        </w:rPr>
        <w:t> </w:t>
      </w:r>
      <w:r>
        <w:rPr>
          <w:sz w:val="24"/>
        </w:rPr>
        <w:t>aboveground</w:t>
      </w:r>
      <w:r>
        <w:rPr>
          <w:spacing w:val="-1"/>
          <w:sz w:val="24"/>
        </w:rPr>
        <w:t> </w:t>
      </w:r>
      <w:r>
        <w:rPr>
          <w:sz w:val="24"/>
        </w:rPr>
        <w:t>oil</w:t>
      </w:r>
      <w:r>
        <w:rPr>
          <w:spacing w:val="-2"/>
          <w:sz w:val="24"/>
        </w:rPr>
        <w:t> </w:t>
      </w:r>
      <w:r>
        <w:rPr>
          <w:sz w:val="24"/>
        </w:rPr>
        <w:t>storage</w:t>
      </w:r>
      <w:r>
        <w:rPr>
          <w:spacing w:val="-2"/>
          <w:sz w:val="24"/>
        </w:rPr>
        <w:t> </w:t>
      </w:r>
      <w:r>
        <w:rPr>
          <w:sz w:val="24"/>
        </w:rPr>
        <w:t>and</w:t>
      </w:r>
      <w:r>
        <w:rPr>
          <w:spacing w:val="-3"/>
          <w:sz w:val="24"/>
        </w:rPr>
        <w:t> </w:t>
      </w:r>
      <w:r>
        <w:rPr>
          <w:sz w:val="24"/>
        </w:rPr>
        <w:t>transfer</w:t>
      </w:r>
      <w:r>
        <w:rPr>
          <w:spacing w:val="-1"/>
          <w:sz w:val="24"/>
        </w:rPr>
        <w:t> </w:t>
      </w:r>
      <w:r>
        <w:rPr>
          <w:sz w:val="24"/>
        </w:rPr>
        <w:t>operations.</w:t>
      </w:r>
      <w:r>
        <w:rPr>
          <w:spacing w:val="-1"/>
          <w:sz w:val="24"/>
        </w:rPr>
        <w:t> </w:t>
      </w:r>
      <w:r>
        <w:rPr>
          <w:sz w:val="24"/>
        </w:rPr>
        <w:t>This</w:t>
      </w:r>
      <w:r>
        <w:rPr>
          <w:spacing w:val="-2"/>
          <w:sz w:val="24"/>
        </w:rPr>
        <w:t> </w:t>
      </w:r>
      <w:r>
        <w:rPr>
          <w:sz w:val="24"/>
        </w:rPr>
        <w:t>allows</w:t>
      </w:r>
      <w:r>
        <w:rPr>
          <w:spacing w:val="-1"/>
          <w:sz w:val="24"/>
        </w:rPr>
        <w:t> </w:t>
      </w:r>
      <w:r>
        <w:rPr>
          <w:sz w:val="24"/>
        </w:rPr>
        <w:t>staff</w:t>
      </w:r>
      <w:r>
        <w:rPr>
          <w:spacing w:val="-1"/>
          <w:sz w:val="24"/>
        </w:rPr>
        <w:t> </w:t>
      </w:r>
      <w:r>
        <w:rPr>
          <w:sz w:val="24"/>
        </w:rPr>
        <w:t>to</w:t>
      </w:r>
      <w:r>
        <w:rPr>
          <w:spacing w:val="-57"/>
          <w:sz w:val="24"/>
        </w:rPr>
        <w:t> </w:t>
      </w:r>
      <w:r>
        <w:rPr>
          <w:sz w:val="24"/>
        </w:rPr>
        <w:t>more</w:t>
      </w:r>
      <w:r>
        <w:rPr>
          <w:spacing w:val="-1"/>
          <w:sz w:val="24"/>
        </w:rPr>
        <w:t> </w:t>
      </w:r>
      <w:r>
        <w:rPr>
          <w:sz w:val="24"/>
        </w:rPr>
        <w:t>quickly answer permittees’</w:t>
      </w:r>
      <w:r>
        <w:rPr>
          <w:spacing w:val="-1"/>
          <w:sz w:val="24"/>
        </w:rPr>
        <w:t> </w:t>
      </w:r>
      <w:r>
        <w:rPr>
          <w:sz w:val="24"/>
        </w:rPr>
        <w:t>questions</w:t>
      </w:r>
      <w:r>
        <w:rPr>
          <w:spacing w:val="-1"/>
          <w:sz w:val="24"/>
        </w:rPr>
        <w:t> </w:t>
      </w:r>
      <w:r>
        <w:rPr>
          <w:sz w:val="24"/>
        </w:rPr>
        <w:t>regarding process</w:t>
      </w:r>
      <w:r>
        <w:rPr>
          <w:spacing w:val="-2"/>
          <w:sz w:val="24"/>
        </w:rPr>
        <w:t> </w:t>
      </w:r>
      <w:r>
        <w:rPr>
          <w:sz w:val="24"/>
        </w:rPr>
        <w:t>permits.</w:t>
      </w:r>
    </w:p>
    <w:p>
      <w:pPr>
        <w:pStyle w:val="BodyText"/>
      </w:pP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75" w:hanging="360"/>
        <w:jc w:val="left"/>
        <w:rPr>
          <w:sz w:val="24"/>
        </w:rPr>
      </w:pPr>
      <w:r>
        <w:rPr>
          <w:sz w:val="24"/>
        </w:rPr>
        <w:t>Improved</w:t>
      </w:r>
      <w:r>
        <w:rPr>
          <w:spacing w:val="-2"/>
          <w:sz w:val="24"/>
        </w:rPr>
        <w:t> </w:t>
      </w:r>
      <w:r>
        <w:rPr>
          <w:sz w:val="24"/>
        </w:rPr>
        <w:t>database</w:t>
      </w:r>
      <w:r>
        <w:rPr>
          <w:spacing w:val="-1"/>
          <w:sz w:val="24"/>
        </w:rPr>
        <w:t> </w:t>
      </w:r>
      <w:r>
        <w:rPr>
          <w:sz w:val="24"/>
        </w:rPr>
        <w:t>search</w:t>
      </w:r>
      <w:r>
        <w:rPr>
          <w:spacing w:val="-1"/>
          <w:sz w:val="24"/>
        </w:rPr>
        <w:t> </w:t>
      </w:r>
      <w:r>
        <w:rPr>
          <w:sz w:val="24"/>
        </w:rPr>
        <w:t>tools</w:t>
      </w:r>
      <w:r>
        <w:rPr>
          <w:spacing w:val="-1"/>
          <w:sz w:val="24"/>
        </w:rPr>
        <w:t> </w:t>
      </w:r>
      <w:r>
        <w:rPr>
          <w:sz w:val="24"/>
        </w:rPr>
        <w:t>to</w:t>
      </w:r>
      <w:r>
        <w:rPr>
          <w:spacing w:val="-3"/>
          <w:sz w:val="24"/>
        </w:rPr>
        <w:t> </w:t>
      </w:r>
      <w:r>
        <w:rPr>
          <w:sz w:val="24"/>
        </w:rPr>
        <w:t>provide</w:t>
      </w:r>
      <w:r>
        <w:rPr>
          <w:spacing w:val="-1"/>
          <w:sz w:val="24"/>
        </w:rPr>
        <w:t> </w:t>
      </w:r>
      <w:r>
        <w:rPr>
          <w:sz w:val="24"/>
        </w:rPr>
        <w:t>quick</w:t>
      </w:r>
      <w:r>
        <w:rPr>
          <w:spacing w:val="-3"/>
          <w:sz w:val="24"/>
        </w:rPr>
        <w:t> </w:t>
      </w:r>
      <w:r>
        <w:rPr>
          <w:sz w:val="24"/>
        </w:rPr>
        <w:t>information</w:t>
      </w:r>
      <w:r>
        <w:rPr>
          <w:spacing w:val="-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to</w:t>
      </w:r>
      <w:r>
        <w:rPr>
          <w:spacing w:val="-1"/>
          <w:sz w:val="24"/>
        </w:rPr>
        <w:t> </w:t>
      </w:r>
      <w:r>
        <w:rPr>
          <w:sz w:val="24"/>
        </w:rPr>
        <w:t>answer</w:t>
      </w:r>
      <w:r>
        <w:rPr>
          <w:spacing w:val="-1"/>
          <w:sz w:val="24"/>
        </w:rPr>
        <w:t> </w:t>
      </w:r>
      <w:r>
        <w:rPr>
          <w:sz w:val="24"/>
        </w:rPr>
        <w:t>questions</w:t>
      </w:r>
      <w:r>
        <w:rPr>
          <w:spacing w:val="-2"/>
          <w:sz w:val="24"/>
        </w:rPr>
        <w:t> </w:t>
      </w:r>
      <w:r>
        <w:rPr>
          <w:sz w:val="24"/>
        </w:rPr>
        <w:t>for</w:t>
      </w:r>
      <w:r>
        <w:rPr>
          <w:spacing w:val="-57"/>
          <w:sz w:val="24"/>
        </w:rPr>
        <w:t> </w:t>
      </w:r>
      <w:r>
        <w:rPr>
          <w:sz w:val="24"/>
        </w:rPr>
        <w:t>customers</w:t>
      </w:r>
      <w:r>
        <w:rPr>
          <w:spacing w:val="-1"/>
          <w:sz w:val="24"/>
        </w:rPr>
        <w:t> </w:t>
      </w:r>
      <w:r>
        <w:rPr>
          <w:sz w:val="24"/>
        </w:rPr>
        <w:t>about specific facilities and</w:t>
      </w:r>
      <w:r>
        <w:rPr>
          <w:spacing w:val="-1"/>
          <w:sz w:val="24"/>
        </w:rPr>
        <w:t> </w:t>
      </w:r>
      <w:r>
        <w:rPr>
          <w:sz w:val="24"/>
        </w:rPr>
        <w:t>environmental</w:t>
      </w:r>
      <w:r>
        <w:rPr>
          <w:spacing w:val="-1"/>
          <w:sz w:val="24"/>
        </w:rPr>
        <w:t> </w:t>
      </w:r>
      <w:r>
        <w:rPr>
          <w:sz w:val="24"/>
        </w:rPr>
        <w:t>cases.</w:t>
      </w:r>
    </w:p>
    <w:p>
      <w:pPr>
        <w:pStyle w:val="BodyText"/>
      </w:pP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20" w:hanging="360"/>
        <w:jc w:val="left"/>
        <w:rPr>
          <w:sz w:val="24"/>
        </w:rPr>
      </w:pPr>
      <w:r>
        <w:rPr>
          <w:sz w:val="24"/>
        </w:rPr>
        <w:t>Program staff developed an internal search application that searches the program’s</w:t>
      </w:r>
      <w:r>
        <w:rPr>
          <w:spacing w:val="1"/>
          <w:sz w:val="24"/>
        </w:rPr>
        <w:t> </w:t>
      </w:r>
      <w:r>
        <w:rPr>
          <w:sz w:val="24"/>
        </w:rPr>
        <w:t>multiple databases in real time to provide fast information for customers. This search tool</w:t>
      </w:r>
      <w:r>
        <w:rPr>
          <w:spacing w:val="-58"/>
          <w:sz w:val="24"/>
        </w:rPr>
        <w:t> </w:t>
      </w:r>
      <w:r>
        <w:rPr>
          <w:sz w:val="24"/>
        </w:rPr>
        <w:t>is frequently used to serve the many customers who request public information from this</w:t>
      </w:r>
      <w:r>
        <w:rPr>
          <w:spacing w:val="1"/>
          <w:sz w:val="24"/>
        </w:rPr>
        <w:t> </w:t>
      </w:r>
      <w:r>
        <w:rPr>
          <w:sz w:val="24"/>
        </w:rPr>
        <w:t>program.</w:t>
      </w:r>
    </w:p>
    <w:p>
      <w:pPr>
        <w:pStyle w:val="BodyText"/>
      </w:pPr>
    </w:p>
    <w:p>
      <w:pPr>
        <w:pStyle w:val="ListParagraph"/>
        <w:numPr>
          <w:ilvl w:val="0"/>
          <w:numId w:val="3"/>
        </w:numPr>
        <w:tabs>
          <w:tab w:pos="839" w:val="left" w:leader="none"/>
          <w:tab w:pos="840" w:val="left" w:leader="none"/>
        </w:tabs>
        <w:spacing w:line="240" w:lineRule="auto" w:before="0" w:after="0"/>
        <w:ind w:left="840" w:right="286" w:hanging="360"/>
        <w:jc w:val="left"/>
        <w:rPr>
          <w:sz w:val="24"/>
        </w:rPr>
      </w:pPr>
      <w:r>
        <w:rPr>
          <w:sz w:val="24"/>
        </w:rPr>
        <w:t>Began issuing certain permits electronically to help customers get new business</w:t>
      </w:r>
      <w:r>
        <w:rPr>
          <w:spacing w:val="1"/>
          <w:sz w:val="24"/>
        </w:rPr>
        <w:t> </w:t>
      </w:r>
      <w:r>
        <w:rPr>
          <w:sz w:val="24"/>
        </w:rPr>
        <w:t>operations started and to facilitate continued operations. These permits have allowed</w:t>
      </w:r>
      <w:r>
        <w:rPr>
          <w:spacing w:val="1"/>
          <w:sz w:val="24"/>
        </w:rPr>
        <w:t> </w:t>
      </w:r>
      <w:r>
        <w:rPr>
          <w:sz w:val="24"/>
        </w:rPr>
        <w:t>aboveground storage tank operations and certain contaminant treatment systems to begin</w:t>
      </w:r>
      <w:r>
        <w:rPr>
          <w:spacing w:val="-57"/>
          <w:sz w:val="24"/>
        </w:rPr>
        <w:t> </w:t>
      </w:r>
      <w:r>
        <w:rPr>
          <w:sz w:val="24"/>
        </w:rPr>
        <w:t>or continue operations during the pandemic even while certain businesses were</w:t>
      </w:r>
      <w:r>
        <w:rPr>
          <w:spacing w:val="1"/>
          <w:sz w:val="24"/>
        </w:rPr>
        <w:t> </w:t>
      </w:r>
      <w:r>
        <w:rPr>
          <w:sz w:val="24"/>
        </w:rPr>
        <w:t>temporarily</w:t>
      </w:r>
      <w:r>
        <w:rPr>
          <w:spacing w:val="-3"/>
          <w:sz w:val="24"/>
        </w:rPr>
        <w:t> </w:t>
      </w:r>
      <w:r>
        <w:rPr>
          <w:sz w:val="24"/>
        </w:rPr>
        <w:t>shut down and staff</w:t>
      </w:r>
      <w:r>
        <w:rPr>
          <w:spacing w:val="-1"/>
          <w:sz w:val="24"/>
        </w:rPr>
        <w:t> </w:t>
      </w:r>
      <w:r>
        <w:rPr>
          <w:sz w:val="24"/>
        </w:rPr>
        <w:t>were working remotely.</w:t>
      </w:r>
    </w:p>
    <w:p>
      <w:pPr>
        <w:spacing w:after="0" w:line="240" w:lineRule="auto"/>
        <w:jc w:val="left"/>
        <w:rPr>
          <w:sz w:val="24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Heading1"/>
      </w:pPr>
      <w:bookmarkStart w:name="_TOC_250000" w:id="19"/>
      <w:bookmarkStart w:name="Future Plans" w:id="20"/>
      <w:r>
        <w:rPr>
          <w:b w:val="0"/>
        </w:rPr>
      </w:r>
      <w:r>
        <w:rPr/>
        <w:t>Future</w:t>
      </w:r>
      <w:r>
        <w:rPr>
          <w:spacing w:val="-5"/>
        </w:rPr>
        <w:t> </w:t>
      </w:r>
      <w:bookmarkEnd w:id="19"/>
      <w:r>
        <w:rPr/>
        <w:t>Plans</w:t>
      </w:r>
    </w:p>
    <w:p>
      <w:pPr>
        <w:pStyle w:val="BodyText"/>
        <w:spacing w:before="198"/>
        <w:ind w:left="120" w:right="266"/>
      </w:pPr>
      <w:r>
        <w:rPr/>
        <w:t>Governor Hogan has made customer service a priority since the beginning of his administration,</w:t>
      </w:r>
      <w:r>
        <w:rPr>
          <w:spacing w:val="-57"/>
        </w:rPr>
        <w:t> </w:t>
      </w:r>
      <w:r>
        <w:rPr/>
        <w:t>and this mission has become even more important during the COVID-19 pandemic as evidenced</w:t>
      </w:r>
      <w:r>
        <w:rPr>
          <w:spacing w:val="-57"/>
        </w:rPr>
        <w:t> </w:t>
      </w:r>
      <w:r>
        <w:rPr/>
        <w:t>throughout this report. Since the beginning of the Governor’s Customer Service Initiative, all</w:t>
      </w:r>
      <w:r>
        <w:rPr>
          <w:spacing w:val="1"/>
        </w:rPr>
        <w:t> </w:t>
      </w:r>
      <w:r>
        <w:rPr/>
        <w:t>state agencies have been required to produce a customer service report and have a liaison</w:t>
      </w:r>
      <w:r>
        <w:rPr>
          <w:spacing w:val="1"/>
        </w:rPr>
        <w:t> </w:t>
      </w:r>
      <w:r>
        <w:rPr/>
        <w:t>dedicated to customer service. This liaison reports to regular meetings to discuss benchmarking</w:t>
      </w:r>
      <w:r>
        <w:rPr>
          <w:spacing w:val="1"/>
        </w:rPr>
        <w:t> </w:t>
      </w:r>
      <w:r>
        <w:rPr/>
        <w:t>and best practices. As a response to the COVID-19 pandemic, Maryland now has a record</w:t>
      </w:r>
      <w:r>
        <w:rPr>
          <w:spacing w:val="1"/>
        </w:rPr>
        <w:t> </w:t>
      </w:r>
      <w:r>
        <w:rPr/>
        <w:t>number of services and information available online which increases transparency and</w:t>
      </w:r>
      <w:r>
        <w:rPr>
          <w:spacing w:val="1"/>
        </w:rPr>
        <w:t> </w:t>
      </w:r>
      <w:r>
        <w:rPr/>
        <w:t>accessibility for the public. Meanwhile, state agencies utilize multiple social media outreach</w:t>
      </w:r>
      <w:r>
        <w:rPr>
          <w:spacing w:val="1"/>
        </w:rPr>
        <w:t> </w:t>
      </w:r>
      <w:r>
        <w:rPr/>
        <w:t>platforms where the numbers of followers, and those who engage, are rapidly increasing. The</w:t>
      </w:r>
      <w:r>
        <w:rPr>
          <w:spacing w:val="1"/>
        </w:rPr>
        <w:t> </w:t>
      </w:r>
      <w:r>
        <w:rPr/>
        <w:t>Hogan-Rutherford Administration will continue to strive to improve the overall customer</w:t>
      </w:r>
      <w:r>
        <w:rPr>
          <w:spacing w:val="1"/>
        </w:rPr>
        <w:t> </w:t>
      </w:r>
      <w:r>
        <w:rPr/>
        <w:t>experience through innovation and by providing unencumbered, more efficient paths that align</w:t>
      </w:r>
      <w:r>
        <w:rPr>
          <w:spacing w:val="1"/>
        </w:rPr>
        <w:t> </w:t>
      </w:r>
      <w:r>
        <w:rPr/>
        <w:t>with</w:t>
      </w:r>
      <w:r>
        <w:rPr>
          <w:spacing w:val="-1"/>
        </w:rPr>
        <w:t> </w:t>
      </w:r>
      <w:r>
        <w:rPr/>
        <w:t>the Governor’s priority</w:t>
      </w:r>
      <w:r>
        <w:rPr>
          <w:spacing w:val="-1"/>
        </w:rPr>
        <w:t> </w:t>
      </w:r>
      <w:r>
        <w:rPr/>
        <w:t>for excellent customer service.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0">
            <wp:simplePos x="0" y="0"/>
            <wp:positionH relativeFrom="page">
              <wp:posOffset>2413012</wp:posOffset>
            </wp:positionH>
            <wp:positionV relativeFrom="paragraph">
              <wp:posOffset>175982</wp:posOffset>
            </wp:positionV>
            <wp:extent cx="2966454" cy="2919793"/>
            <wp:effectExtent l="0" t="0" r="0" b="0"/>
            <wp:wrapTopAndBottom/>
            <wp:docPr id="29" name="image14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4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6454" cy="29197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2240" w:h="15840"/>
          <w:pgMar w:header="720" w:footer="800" w:top="1360" w:bottom="980" w:left="1320" w:right="1260"/>
        </w:sectPr>
      </w:pPr>
    </w:p>
    <w:p>
      <w:pPr>
        <w:pStyle w:val="BodyText"/>
        <w:ind w:left="960"/>
        <w:rPr>
          <w:sz w:val="20"/>
        </w:rPr>
      </w:pPr>
      <w:r>
        <w:rPr>
          <w:sz w:val="20"/>
        </w:rPr>
        <w:drawing>
          <wp:inline distT="0" distB="0" distL="0" distR="0">
            <wp:extent cx="4876787" cy="7639050"/>
            <wp:effectExtent l="0" t="0" r="0" b="0"/>
            <wp:docPr id="31" name="image15.jpeg" descr="Statewide Customer Service Annual Report FY20 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5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787" cy="763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37"/>
        <w:ind w:left="2756"/>
      </w:pPr>
      <w:bookmarkStart w:name="The Customer Service Promise" w:id="21"/>
      <w:bookmarkEnd w:id="21"/>
      <w:r>
        <w:rPr/>
      </w:r>
      <w:r>
        <w:rPr/>
        <w:t>Statewide</w:t>
      </w:r>
      <w:r>
        <w:rPr>
          <w:spacing w:val="-3"/>
        </w:rPr>
        <w:t> </w:t>
      </w:r>
      <w:r>
        <w:rPr/>
        <w:t>Customer</w:t>
      </w:r>
      <w:r>
        <w:rPr>
          <w:spacing w:val="-2"/>
        </w:rPr>
        <w:t> </w:t>
      </w:r>
      <w:r>
        <w:rPr/>
        <w:t>Service</w:t>
      </w:r>
      <w:r>
        <w:rPr>
          <w:spacing w:val="-2"/>
        </w:rPr>
        <w:t> </w:t>
      </w:r>
      <w:r>
        <w:rPr/>
        <w:t>Annual</w:t>
      </w:r>
      <w:r>
        <w:rPr>
          <w:spacing w:val="-3"/>
        </w:rPr>
        <w:t> </w:t>
      </w:r>
      <w:r>
        <w:rPr/>
        <w:t>Report</w:t>
      </w:r>
      <w:r>
        <w:rPr>
          <w:spacing w:val="-2"/>
        </w:rPr>
        <w:t> </w:t>
      </w:r>
      <w:r>
        <w:rPr/>
        <w:t>FY20</w:t>
      </w:r>
    </w:p>
    <w:sectPr>
      <w:headerReference w:type="default" r:id="rId33"/>
      <w:footerReference w:type="default" r:id="rId34"/>
      <w:pgSz w:w="12240" w:h="15840"/>
      <w:pgMar w:header="0" w:footer="0" w:top="1440" w:bottom="280" w:left="1320" w:right="12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Georgia">
    <w:altName w:val="Georgia"/>
    <w:charset w:val="1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7402496">
          <wp:simplePos x="0" y="0"/>
          <wp:positionH relativeFrom="page">
            <wp:posOffset>914400</wp:posOffset>
          </wp:positionH>
          <wp:positionV relativeFrom="page">
            <wp:posOffset>9372651</wp:posOffset>
          </wp:positionV>
          <wp:extent cx="6236808" cy="209550"/>
          <wp:effectExtent l="0" t="0" r="0" b="0"/>
          <wp:wrapNone/>
          <wp:docPr id="5" name="image2.jpeg" descr="Statewide Customer Service Annual Report FY20 - cover 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236808" cy="2095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524.757813pt;margin-top:740.74115pt;width:18.25pt;height:14.3pt;mso-position-horizontal-relative:page;mso-position-vertical-relative:page;z-index:-15913472" type="#_x0000_t202" filled="false" stroked="false">
          <v:textbox inset="0,0,0,0">
            <w:txbxContent>
              <w:p>
                <w:pPr>
                  <w:spacing w:before="12"/>
                  <w:ind w:left="60" w:right="0" w:firstLine="0"/>
                  <w:jc w:val="left"/>
                  <w:rPr>
                    <w:rFonts w:ascii="Arial MT"/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rFonts w:ascii="Arial MT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7401472">
          <wp:simplePos x="0" y="0"/>
          <wp:positionH relativeFrom="page">
            <wp:posOffset>914400</wp:posOffset>
          </wp:positionH>
          <wp:positionV relativeFrom="page">
            <wp:posOffset>457200</wp:posOffset>
          </wp:positionV>
          <wp:extent cx="6236808" cy="209550"/>
          <wp:effectExtent l="0" t="0" r="0" b="0"/>
          <wp:wrapNone/>
          <wp:docPr id="3" name="image2.jpeg" descr="Statewide Customer Service Annual Report FY20 - header 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236808" cy="2095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80.190262pt;margin-top:35.320099pt;width:243.5pt;height:14.3pt;mso-position-horizontal-relative:page;mso-position-vertical-relative:page;z-index:-15914496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 MT"/>
                    <w:sz w:val="22"/>
                  </w:rPr>
                </w:pPr>
                <w:r>
                  <w:rPr>
                    <w:rFonts w:ascii="Arial MT"/>
                    <w:sz w:val="22"/>
                  </w:rPr>
                  <w:t>Statewide</w:t>
                </w:r>
                <w:r>
                  <w:rPr>
                    <w:rFonts w:ascii="Arial MT"/>
                    <w:spacing w:val="-3"/>
                    <w:sz w:val="22"/>
                  </w:rPr>
                  <w:t> </w:t>
                </w:r>
                <w:r>
                  <w:rPr>
                    <w:rFonts w:ascii="Arial MT"/>
                    <w:sz w:val="22"/>
                  </w:rPr>
                  <w:t>Customer</w:t>
                </w:r>
                <w:r>
                  <w:rPr>
                    <w:rFonts w:ascii="Arial MT"/>
                    <w:spacing w:val="-3"/>
                    <w:sz w:val="22"/>
                  </w:rPr>
                  <w:t> </w:t>
                </w:r>
                <w:r>
                  <w:rPr>
                    <w:rFonts w:ascii="Arial MT"/>
                    <w:sz w:val="22"/>
                  </w:rPr>
                  <w:t>Service</w:t>
                </w:r>
                <w:r>
                  <w:rPr>
                    <w:rFonts w:ascii="Arial MT"/>
                    <w:spacing w:val="-2"/>
                    <w:sz w:val="22"/>
                  </w:rPr>
                  <w:t> </w:t>
                </w:r>
                <w:r>
                  <w:rPr>
                    <w:rFonts w:ascii="Arial MT"/>
                    <w:sz w:val="22"/>
                  </w:rPr>
                  <w:t>Annual</w:t>
                </w:r>
                <w:r>
                  <w:rPr>
                    <w:rFonts w:ascii="Arial MT"/>
                    <w:spacing w:val="-3"/>
                    <w:sz w:val="22"/>
                  </w:rPr>
                  <w:t> </w:t>
                </w:r>
                <w:r>
                  <w:rPr>
                    <w:rFonts w:ascii="Arial MT"/>
                    <w:sz w:val="22"/>
                  </w:rPr>
                  <w:t>Report</w:t>
                </w:r>
                <w:r>
                  <w:rPr>
                    <w:rFonts w:ascii="Arial MT"/>
                    <w:spacing w:val="-2"/>
                    <w:sz w:val="22"/>
                  </w:rPr>
                  <w:t> </w:t>
                </w:r>
                <w:r>
                  <w:rPr>
                    <w:rFonts w:ascii="Arial MT"/>
                    <w:sz w:val="22"/>
                  </w:rPr>
                  <w:t>FY20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0"/>
      <w:numFmt w:val="bullet"/>
      <w:lvlText w:val="●"/>
      <w:lvlJc w:val="left"/>
      <w:pPr>
        <w:ind w:left="1065" w:hanging="360"/>
      </w:pPr>
      <w:rPr>
        <w:rFonts w:hint="default" w:ascii="Times New Roman" w:hAnsi="Times New Roman" w:eastAsia="Times New Roman" w:cs="Times New Roman"/>
        <w:w w:val="100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920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780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640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50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36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220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708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940" w:hanging="360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●"/>
      <w:lvlJc w:val="left"/>
      <w:pPr>
        <w:ind w:left="840" w:hanging="360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●"/>
      <w:lvlJc w:val="left"/>
      <w:pPr>
        <w:ind w:left="1059" w:hanging="360"/>
      </w:pPr>
      <w:rPr>
        <w:rFonts w:hint="default" w:ascii="Arial MT" w:hAnsi="Arial MT" w:eastAsia="Arial MT" w:cs="Arial MT"/>
        <w:color w:val="212121"/>
        <w:w w:val="60"/>
        <w:sz w:val="22"/>
        <w:szCs w:val="22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1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971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26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882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8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748" w:hanging="360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0"/>
      <w:numFmt w:val="bullet"/>
      <w:lvlText w:val="-"/>
      <w:lvlJc w:val="left"/>
      <w:pPr>
        <w:ind w:left="840" w:hanging="360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722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604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486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368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132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7014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●"/>
      <w:lvlJc w:val="left"/>
      <w:pPr>
        <w:ind w:left="1560" w:hanging="360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370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180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990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80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61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420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723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8040" w:hanging="360"/>
      </w:pPr>
      <w:rPr>
        <w:rFonts w:hint="default"/>
        <w:lang w:val="en-US" w:eastAsia="en-US" w:bidi="ar-SA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en-US" w:eastAsia="en-US" w:bidi="ar-SA"/>
    </w:rPr>
  </w:style>
  <w:style w:styleId="TOC1" w:type="paragraph">
    <w:name w:val="TOC 1"/>
    <w:basedOn w:val="Normal"/>
    <w:uiPriority w:val="1"/>
    <w:qFormat/>
    <w:pPr>
      <w:spacing w:before="266"/>
      <w:ind w:left="119"/>
    </w:pPr>
    <w:rPr>
      <w:rFonts w:ascii="Times New Roman" w:hAnsi="Times New Roman" w:eastAsia="Times New Roman" w:cs="Times New Roman"/>
      <w:sz w:val="28"/>
      <w:szCs w:val="28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79"/>
      <w:ind w:left="120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before="24"/>
      <w:ind w:left="120"/>
      <w:outlineLvl w:val="2"/>
    </w:pPr>
    <w:rPr>
      <w:rFonts w:ascii="Times New Roman" w:hAnsi="Times New Roman" w:eastAsia="Times New Roman" w:cs="Times New Roman"/>
      <w:i/>
      <w:iCs/>
      <w:sz w:val="28"/>
      <w:szCs w:val="28"/>
      <w:lang w:val="en-US" w:eastAsia="en-US" w:bidi="ar-SA"/>
    </w:rPr>
  </w:style>
  <w:style w:styleId="Heading3" w:type="paragraph">
    <w:name w:val="Heading 3"/>
    <w:basedOn w:val="Normal"/>
    <w:uiPriority w:val="1"/>
    <w:qFormat/>
    <w:pPr>
      <w:spacing w:line="275" w:lineRule="exact"/>
      <w:ind w:left="120"/>
      <w:outlineLvl w:val="3"/>
    </w:pPr>
    <w:rPr>
      <w:rFonts w:ascii="Times New Roman" w:hAnsi="Times New Roman" w:eastAsia="Times New Roman" w:cs="Times New Roman"/>
      <w:b/>
      <w:bCs/>
      <w:sz w:val="24"/>
      <w:szCs w:val="24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840" w:hanging="360"/>
    </w:pPr>
    <w:rPr>
      <w:rFonts w:ascii="Times New Roman" w:hAnsi="Times New Roman" w:eastAsia="Times New Roman" w:cs="Times New Roman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image" Target="media/image3.pn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hyperlink" Target="http://coronavirus.maryland.gov/" TargetMode="External"/><Relationship Id="rId13" Type="http://schemas.openxmlformats.org/officeDocument/2006/relationships/hyperlink" Target="http://covidlink.maryland.gov/" TargetMode="External"/><Relationship Id="rId14" Type="http://schemas.openxmlformats.org/officeDocument/2006/relationships/hyperlink" Target="https://coronavirus.maryland.gov/pages/symptoms-testing" TargetMode="External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hyperlink" Target="https://docs.google.com/document/d/1A9-LyinxeRPdUXdpSvOKuQLpflIxv6z4L_otu8jWue4/edit?usp=sharing" TargetMode="External"/><Relationship Id="rId21" Type="http://schemas.openxmlformats.org/officeDocument/2006/relationships/hyperlink" Target="https://govstatus.egov.com/md-coronavirus-business" TargetMode="External"/><Relationship Id="rId22" Type="http://schemas.openxmlformats.org/officeDocument/2006/relationships/hyperlink" Target="https://govstatus.egov.com/md-coronavirus-business/closures-restrictions-enforcement" TargetMode="External"/><Relationship Id="rId23" Type="http://schemas.openxmlformats.org/officeDocument/2006/relationships/hyperlink" Target="https://govstatus.egov.com/md-coronavirus-business/employer-worker-assistance" TargetMode="External"/><Relationship Id="rId24" Type="http://schemas.openxmlformats.org/officeDocument/2006/relationships/hyperlink" Target="https://govstatus.egov.com/md-coronavirus-business/financial-assistance" TargetMode="External"/><Relationship Id="rId25" Type="http://schemas.openxmlformats.org/officeDocument/2006/relationships/hyperlink" Target="https://govstatus.egov.com/md-coronavirus-business/offers-donations-volunteer-resources" TargetMode="External"/><Relationship Id="rId26" Type="http://schemas.openxmlformats.org/officeDocument/2006/relationships/hyperlink" Target="https://open.maryland.gov/backtobusiness/" TargetMode="External"/><Relationship Id="rId27" Type="http://schemas.openxmlformats.org/officeDocument/2006/relationships/hyperlink" Target="https://governor.maryland.gov/recovery/" TargetMode="External"/><Relationship Id="rId28" Type="http://schemas.openxmlformats.org/officeDocument/2006/relationships/hyperlink" Target="mailto:Secretary.Commerce@maryland.gov" TargetMode="External"/><Relationship Id="rId29" Type="http://schemas.openxmlformats.org/officeDocument/2006/relationships/hyperlink" Target="mailto:Covid-19.Application@maryland.gov" TargetMode="External"/><Relationship Id="rId30" Type="http://schemas.openxmlformats.org/officeDocument/2006/relationships/image" Target="media/image12.jpeg"/><Relationship Id="rId31" Type="http://schemas.openxmlformats.org/officeDocument/2006/relationships/image" Target="media/image13.jpeg"/><Relationship Id="rId32" Type="http://schemas.openxmlformats.org/officeDocument/2006/relationships/image" Target="media/image14.jpeg"/><Relationship Id="rId33" Type="http://schemas.openxmlformats.org/officeDocument/2006/relationships/header" Target="header2.xml"/><Relationship Id="rId34" Type="http://schemas.openxmlformats.org/officeDocument/2006/relationships/footer" Target="footer2.xml"/><Relationship Id="rId35" Type="http://schemas.openxmlformats.org/officeDocument/2006/relationships/image" Target="media/image15.jpeg"/><Relationship Id="rId36" Type="http://schemas.openxmlformats.org/officeDocument/2006/relationships/numbering" Target="numbering.xml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GOC</dc:creator>
  <cp:keywords>Statewide Customer Service Annual Report FY20</cp:keywords>
  <dc:subject>Statewide Customer Service Annual Report FY20</dc:subject>
  <dc:title>Statewide Customer Service Annual Report FY20</dc:title>
  <dcterms:created xsi:type="dcterms:W3CDTF">2022-06-22T07:57:07Z</dcterms:created>
  <dcterms:modified xsi:type="dcterms:W3CDTF">2022-06-22T07:57:07Z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2021-01-25T00:00:00Z</vt:filetime>
  </property>
  <property fmtid="{D5CDD505-2E9C-101B-9397-08002B2CF9AE}" pid="3" name="Creator">
    <vt:lpwstr>Acrobat PDFMaker 20 for Word</vt:lpwstr>
  </property>
  <property fmtid="{D5CDD505-2E9C-101B-9397-08002B2CF9AE}" pid="4" name="LastSaved">
    <vt:filetime>2022-06-22T00:00:00Z</vt:filetime>
  </property>
</Properties>
</file>